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81E6F">
      <w:pPr>
        <w:jc w:val="left"/>
        <w:rPr>
          <w:rFonts w:hint="default"/>
          <w:b w:val="0"/>
          <w:bCs w:val="0"/>
          <w:sz w:val="24"/>
          <w:szCs w:val="24"/>
          <w:u w:val="none"/>
          <w:lang w:val="en-US"/>
        </w:rPr>
      </w:pPr>
    </w:p>
    <w:tbl>
      <w:tblPr>
        <w:tblStyle w:val="4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918"/>
        <w:gridCol w:w="5925"/>
        <w:gridCol w:w="1800"/>
      </w:tblGrid>
      <w:tr w14:paraId="681BC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0" w:type="dxa"/>
            <w:noWrap w:val="0"/>
            <w:vAlign w:val="top"/>
          </w:tcPr>
          <w:p w14:paraId="1ECB8BBD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SL.NO.</w:t>
            </w:r>
          </w:p>
        </w:tc>
        <w:tc>
          <w:tcPr>
            <w:tcW w:w="1918" w:type="dxa"/>
            <w:tcBorders>
              <w:bottom w:val="single" w:color="auto" w:sz="4" w:space="0"/>
            </w:tcBorders>
            <w:noWrap w:val="0"/>
            <w:vAlign w:val="top"/>
          </w:tcPr>
          <w:p w14:paraId="1DF7984F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Faculty Name</w:t>
            </w:r>
          </w:p>
        </w:tc>
        <w:tc>
          <w:tcPr>
            <w:tcW w:w="5925" w:type="dxa"/>
            <w:noWrap w:val="0"/>
            <w:vAlign w:val="top"/>
          </w:tcPr>
          <w:p w14:paraId="6FBB850A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Publication in Vancouver referencing style</w:t>
            </w:r>
          </w:p>
        </w:tc>
        <w:tc>
          <w:tcPr>
            <w:tcW w:w="1800" w:type="dxa"/>
            <w:noWrap w:val="0"/>
            <w:vAlign w:val="top"/>
          </w:tcPr>
          <w:p w14:paraId="661D16E9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Indexing System</w:t>
            </w:r>
          </w:p>
        </w:tc>
      </w:tr>
      <w:tr w14:paraId="27A6B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noWrap w:val="0"/>
            <w:vAlign w:val="top"/>
          </w:tcPr>
          <w:p w14:paraId="18A8AA8C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</w:t>
            </w:r>
          </w:p>
        </w:tc>
        <w:tc>
          <w:tcPr>
            <w:tcW w:w="1918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 w14:paraId="27CE0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/>
                <w:vertAlign w:val="baseline"/>
              </w:rPr>
            </w:pPr>
          </w:p>
          <w:p w14:paraId="3D18B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Dr. KRISHNAPADA</w:t>
            </w:r>
          </w:p>
          <w:p w14:paraId="33802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vertAlign w:val="baseline"/>
              </w:rPr>
            </w:pPr>
            <w:r>
              <w:rPr>
                <w:rFonts w:hint="default"/>
                <w:vertAlign w:val="baseline"/>
              </w:rPr>
              <w:t>BAIDYA</w:t>
            </w:r>
          </w:p>
        </w:tc>
        <w:tc>
          <w:tcPr>
            <w:tcW w:w="5925" w:type="dxa"/>
            <w:noWrap w:val="0"/>
            <w:vAlign w:val="top"/>
          </w:tcPr>
          <w:p w14:paraId="17059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vertAlign w:val="baseline"/>
              </w:rPr>
            </w:pPr>
            <w:r>
              <w:rPr>
                <w:rFonts w:hint="default"/>
                <w:vertAlign w:val="baseline"/>
              </w:rPr>
              <w:t>Titiyal JS, Baidya KP, Sinha R, Ray M, Sharma N, Vajpayee RB, Dada VK. Intraoperative arcuate transverse keratotomy with</w:t>
            </w:r>
            <w:r>
              <w:rPr>
                <w:rFonts w:hint="default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vertAlign w:val="baseline"/>
              </w:rPr>
              <w:t>phacoemulsification. J Refract Surg. 2002 Nov</w:t>
            </w:r>
            <w:r>
              <w:rPr>
                <w:rFonts w:hint="default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vertAlign w:val="baseline"/>
              </w:rPr>
              <w:t>Dec;18(6):72530.</w:t>
            </w:r>
          </w:p>
        </w:tc>
        <w:tc>
          <w:tcPr>
            <w:tcW w:w="1800" w:type="dxa"/>
            <w:noWrap w:val="0"/>
            <w:vAlign w:val="top"/>
          </w:tcPr>
          <w:p w14:paraId="6DDD0BD4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</w:rPr>
              <w:t>PUBMED</w:t>
            </w:r>
          </w:p>
        </w:tc>
      </w:tr>
      <w:tr w14:paraId="2D490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noWrap w:val="0"/>
            <w:vAlign w:val="top"/>
          </w:tcPr>
          <w:p w14:paraId="75E9A06F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</w:t>
            </w:r>
          </w:p>
        </w:tc>
        <w:tc>
          <w:tcPr>
            <w:tcW w:w="1918" w:type="dxa"/>
            <w:vMerge w:val="continue"/>
            <w:noWrap w:val="0"/>
            <w:vAlign w:val="top"/>
          </w:tcPr>
          <w:p w14:paraId="783CE10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5925" w:type="dxa"/>
            <w:noWrap w:val="0"/>
            <w:vAlign w:val="top"/>
          </w:tcPr>
          <w:p w14:paraId="71027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vertAlign w:val="baseline"/>
              </w:rPr>
            </w:pPr>
            <w:r>
              <w:rPr>
                <w:rFonts w:hint="default"/>
                <w:vertAlign w:val="baseline"/>
              </w:rPr>
              <w:t>Biswas PN, Baidya KP, Nandi K. Eye health and adolescence. J Indian Med Assoc. 2005 Nov;103(11):632-3.</w:t>
            </w:r>
          </w:p>
        </w:tc>
        <w:tc>
          <w:tcPr>
            <w:tcW w:w="1800" w:type="dxa"/>
            <w:noWrap w:val="0"/>
            <w:vAlign w:val="top"/>
          </w:tcPr>
          <w:p w14:paraId="6649E748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</w:rPr>
              <w:t>PUBMED</w:t>
            </w:r>
          </w:p>
        </w:tc>
      </w:tr>
      <w:tr w14:paraId="259BF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noWrap w:val="0"/>
            <w:vAlign w:val="top"/>
          </w:tcPr>
          <w:p w14:paraId="11283732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</w:t>
            </w:r>
          </w:p>
        </w:tc>
        <w:tc>
          <w:tcPr>
            <w:tcW w:w="1918" w:type="dxa"/>
            <w:vMerge w:val="continue"/>
            <w:noWrap w:val="0"/>
            <w:vAlign w:val="top"/>
          </w:tcPr>
          <w:p w14:paraId="2C3B666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5925" w:type="dxa"/>
            <w:noWrap w:val="0"/>
            <w:vAlign w:val="top"/>
          </w:tcPr>
          <w:p w14:paraId="7F69E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vertAlign w:val="baseline"/>
              </w:rPr>
            </w:pPr>
            <w:r>
              <w:rPr>
                <w:rFonts w:hint="default"/>
                <w:vertAlign w:val="baseline"/>
              </w:rPr>
              <w:t>Mahata J, Chaki M, Ghosh P, Das LK, Baidya K, Ray K, Natarajan AT, GiriAK. Comparison of health effects between individuals with and</w:t>
            </w:r>
            <w:r>
              <w:rPr>
                <w:rFonts w:hint="default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vertAlign w:val="baseline"/>
              </w:rPr>
              <w:t>without skin lesions in the population exposed to arsenic through drinking water in West Bengal, India. Cytogenet Genome Res.</w:t>
            </w:r>
            <w:r>
              <w:rPr>
                <w:rFonts w:hint="default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vertAlign w:val="baseline"/>
              </w:rPr>
              <w:t>2004;104(1-4):359-64.</w:t>
            </w:r>
          </w:p>
        </w:tc>
        <w:tc>
          <w:tcPr>
            <w:tcW w:w="1800" w:type="dxa"/>
            <w:noWrap w:val="0"/>
            <w:vAlign w:val="top"/>
          </w:tcPr>
          <w:p w14:paraId="5B10D7CC"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PUBMED</w:t>
            </w:r>
          </w:p>
        </w:tc>
      </w:tr>
      <w:tr w14:paraId="1D669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830" w:type="dxa"/>
            <w:noWrap w:val="0"/>
            <w:vAlign w:val="top"/>
          </w:tcPr>
          <w:p w14:paraId="3229D232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</w:t>
            </w:r>
          </w:p>
        </w:tc>
        <w:tc>
          <w:tcPr>
            <w:tcW w:w="1918" w:type="dxa"/>
            <w:vMerge w:val="continue"/>
            <w:noWrap w:val="0"/>
            <w:vAlign w:val="top"/>
          </w:tcPr>
          <w:p w14:paraId="702CB10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5925" w:type="dxa"/>
            <w:noWrap w:val="0"/>
            <w:vAlign w:val="top"/>
          </w:tcPr>
          <w:p w14:paraId="14A9F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vertAlign w:val="baseline"/>
              </w:rPr>
            </w:pPr>
            <w:r>
              <w:rPr>
                <w:rFonts w:hint="default"/>
                <w:vertAlign w:val="baseline"/>
              </w:rPr>
              <w:t>Ghosh P, Banerjee M, De Chaudhuri S, Chowdhury R, Das JK, Mukherjee A, Sarkar AK, Mondal L, Baidya K, Sau TJ, Banerjee A, Basu A,</w:t>
            </w:r>
            <w:r>
              <w:rPr>
                <w:rFonts w:hint="default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vertAlign w:val="baseline"/>
              </w:rPr>
              <w:t>Chaudhuri K, Ray K, Giri AK. Chromosomal aberrations in arsenic-exposed human populations: a review with special reference to a</w:t>
            </w:r>
            <w:r>
              <w:rPr>
                <w:rFonts w:hint="default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vertAlign w:val="baseline"/>
              </w:rPr>
              <w:t>comprehensive study in West Bengal, India. J Expo Sci Environ Epidemiol. 2007</w:t>
            </w:r>
            <w:r>
              <w:rPr>
                <w:rFonts w:hint="default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vertAlign w:val="baseline"/>
              </w:rPr>
              <w:t>May;</w:t>
            </w:r>
            <w:r>
              <w:rPr>
                <w:rFonts w:hint="default"/>
                <w:vertAlign w:val="baseline"/>
                <w:lang w:val="en-US"/>
              </w:rPr>
              <w:t xml:space="preserve">  </w:t>
            </w:r>
            <w:r>
              <w:rPr>
                <w:rFonts w:hint="default"/>
                <w:vertAlign w:val="baseline"/>
              </w:rPr>
              <w:t>17(3):215-23.</w:t>
            </w:r>
          </w:p>
        </w:tc>
        <w:tc>
          <w:tcPr>
            <w:tcW w:w="1800" w:type="dxa"/>
            <w:noWrap w:val="0"/>
            <w:vAlign w:val="top"/>
          </w:tcPr>
          <w:p w14:paraId="3D0733E5"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PUBMED</w:t>
            </w:r>
          </w:p>
        </w:tc>
      </w:tr>
      <w:tr w14:paraId="2298D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830" w:type="dxa"/>
            <w:noWrap w:val="0"/>
            <w:vAlign w:val="top"/>
          </w:tcPr>
          <w:p w14:paraId="35C5E271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5</w:t>
            </w:r>
          </w:p>
        </w:tc>
        <w:tc>
          <w:tcPr>
            <w:tcW w:w="1918" w:type="dxa"/>
            <w:vMerge w:val="continue"/>
            <w:noWrap w:val="0"/>
            <w:vAlign w:val="top"/>
          </w:tcPr>
          <w:p w14:paraId="139A599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5925" w:type="dxa"/>
            <w:noWrap w:val="0"/>
            <w:vAlign w:val="top"/>
          </w:tcPr>
          <w:p w14:paraId="3AB1F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vertAlign w:val="baseline"/>
              </w:rPr>
            </w:pPr>
            <w:r>
              <w:rPr>
                <w:rFonts w:hint="default"/>
                <w:vertAlign w:val="baseline"/>
              </w:rPr>
              <w:t>Monda LK, Baidya KP, Bhattacharya B, Giri A, Bhaduri G.</w:t>
            </w:r>
            <w:r>
              <w:rPr>
                <w:rFonts w:hint="default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vertAlign w:val="baseline"/>
              </w:rPr>
              <w:t>Relation between increased anaerobic glycolysis and visual acuity in long-</w:t>
            </w:r>
            <w:r>
              <w:rPr>
                <w:rFonts w:hint="default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vertAlign w:val="baseline"/>
              </w:rPr>
              <w:t>standing type 2 diabetes mellitus without retinopathy. Indian J Ophthalmol. 2006 Mar;54(1):43-4.</w:t>
            </w:r>
          </w:p>
        </w:tc>
        <w:tc>
          <w:tcPr>
            <w:tcW w:w="1800" w:type="dxa"/>
            <w:noWrap w:val="0"/>
            <w:vAlign w:val="top"/>
          </w:tcPr>
          <w:p w14:paraId="35D2E3EF"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PUBMED</w:t>
            </w:r>
          </w:p>
        </w:tc>
      </w:tr>
      <w:tr w14:paraId="5A9E5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830" w:type="dxa"/>
            <w:noWrap w:val="0"/>
            <w:vAlign w:val="top"/>
          </w:tcPr>
          <w:p w14:paraId="5FBFBAA1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6</w:t>
            </w:r>
          </w:p>
        </w:tc>
        <w:tc>
          <w:tcPr>
            <w:tcW w:w="1918" w:type="dxa"/>
            <w:vMerge w:val="continue"/>
            <w:noWrap w:val="0"/>
            <w:vAlign w:val="top"/>
          </w:tcPr>
          <w:p w14:paraId="3DEBE52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5925" w:type="dxa"/>
            <w:noWrap w:val="0"/>
            <w:vAlign w:val="top"/>
          </w:tcPr>
          <w:p w14:paraId="5F79B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vertAlign w:val="baseline"/>
              </w:rPr>
            </w:pPr>
            <w:r>
              <w:rPr>
                <w:rFonts w:hint="default"/>
                <w:vertAlign w:val="baseline"/>
              </w:rPr>
              <w:t>K P Baidya, S Ghosh, A Datta, S Mukhopadhyay, G Bhaduri. Congenital Teratomaconaintaing tooth in three-year-old clhild, , Oman J</w:t>
            </w:r>
            <w:r>
              <w:rPr>
                <w:rFonts w:hint="default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vertAlign w:val="baseline"/>
              </w:rPr>
              <w:t>Ophthalmol. 2014 Jan-Apr; 7(1): 13–15.</w:t>
            </w:r>
          </w:p>
        </w:tc>
        <w:tc>
          <w:tcPr>
            <w:tcW w:w="1800" w:type="dxa"/>
            <w:noWrap w:val="0"/>
            <w:vAlign w:val="top"/>
          </w:tcPr>
          <w:p w14:paraId="36FC7F61"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PUBMED</w:t>
            </w:r>
          </w:p>
        </w:tc>
      </w:tr>
      <w:tr w14:paraId="52248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30" w:type="dxa"/>
            <w:noWrap w:val="0"/>
            <w:vAlign w:val="top"/>
          </w:tcPr>
          <w:p w14:paraId="3C78D269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7</w:t>
            </w:r>
          </w:p>
        </w:tc>
        <w:tc>
          <w:tcPr>
            <w:tcW w:w="1918" w:type="dxa"/>
            <w:vMerge w:val="continue"/>
            <w:noWrap w:val="0"/>
            <w:vAlign w:val="top"/>
          </w:tcPr>
          <w:p w14:paraId="19BD7B1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5925" w:type="dxa"/>
            <w:noWrap w:val="0"/>
            <w:vAlign w:val="top"/>
          </w:tcPr>
          <w:p w14:paraId="609E9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vertAlign w:val="baseline"/>
              </w:rPr>
            </w:pPr>
            <w:r>
              <w:rPr>
                <w:rFonts w:hint="default"/>
                <w:vertAlign w:val="baseline"/>
              </w:rPr>
              <w:t>A Raj, K Baidya, S Ghosh, L Mondal, G Bhaduri . Neurofibromatosis I, Neurofibromatosis 1. Ophthalmology. 2009; 116:598-598.</w:t>
            </w:r>
          </w:p>
        </w:tc>
        <w:tc>
          <w:tcPr>
            <w:tcW w:w="1800" w:type="dxa"/>
            <w:noWrap w:val="0"/>
            <w:vAlign w:val="top"/>
          </w:tcPr>
          <w:p w14:paraId="0586503B"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PUBMED</w:t>
            </w:r>
          </w:p>
        </w:tc>
      </w:tr>
      <w:tr w14:paraId="795C1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noWrap w:val="0"/>
            <w:vAlign w:val="top"/>
          </w:tcPr>
          <w:p w14:paraId="2F1AF84B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8</w:t>
            </w:r>
          </w:p>
        </w:tc>
        <w:tc>
          <w:tcPr>
            <w:tcW w:w="1918" w:type="dxa"/>
            <w:vMerge w:val="continue"/>
            <w:noWrap w:val="0"/>
            <w:vAlign w:val="top"/>
          </w:tcPr>
          <w:p w14:paraId="339CF3D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5925" w:type="dxa"/>
            <w:noWrap w:val="0"/>
            <w:vAlign w:val="top"/>
          </w:tcPr>
          <w:p w14:paraId="24DFD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K Baidya, G Bhaduri, LK Mondal. Atypical presentation of a unilateral septic thrombosis of the cavernous sinus. J Indian Med Asso. 01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default"/>
              </w:rPr>
              <w:t>Aug 2005, 103(8):437-438.</w:t>
            </w:r>
          </w:p>
        </w:tc>
        <w:tc>
          <w:tcPr>
            <w:tcW w:w="1800" w:type="dxa"/>
            <w:noWrap w:val="0"/>
            <w:vAlign w:val="top"/>
          </w:tcPr>
          <w:p w14:paraId="40BC3DE8"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PUBMED</w:t>
            </w:r>
          </w:p>
        </w:tc>
      </w:tr>
      <w:tr w14:paraId="3B922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noWrap w:val="0"/>
            <w:vAlign w:val="top"/>
          </w:tcPr>
          <w:p w14:paraId="260130AB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9</w:t>
            </w:r>
          </w:p>
        </w:tc>
        <w:tc>
          <w:tcPr>
            <w:tcW w:w="1918" w:type="dxa"/>
            <w:vMerge w:val="restart"/>
            <w:noWrap w:val="0"/>
            <w:vAlign w:val="top"/>
          </w:tcPr>
          <w:p w14:paraId="267D1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Dr. KRISHNAPADA</w:t>
            </w:r>
          </w:p>
          <w:p w14:paraId="201B5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vertAlign w:val="baseline"/>
              </w:rPr>
            </w:pPr>
            <w:r>
              <w:rPr>
                <w:rFonts w:hint="default"/>
                <w:vertAlign w:val="baseline"/>
              </w:rPr>
              <w:t>BAIDYA</w:t>
            </w:r>
          </w:p>
        </w:tc>
        <w:tc>
          <w:tcPr>
            <w:tcW w:w="5925" w:type="dxa"/>
            <w:noWrap w:val="0"/>
            <w:vAlign w:val="top"/>
          </w:tcPr>
          <w:p w14:paraId="00AC4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L Mondal, S Basu, K Baidya . Central serous</w:t>
            </w:r>
          </w:p>
          <w:p w14:paraId="2038F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chorioretinopathy after dacryocystorhinostomy operation on the same side. Indian J</w:t>
            </w:r>
            <w:r>
              <w:rPr>
                <w:rFonts w:hint="default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vertAlign w:val="baseline"/>
              </w:rPr>
              <w:t>Ophthalmol, 2009 Jan</w:t>
            </w:r>
            <w:r>
              <w:rPr>
                <w:rFonts w:hint="default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vertAlign w:val="baseline"/>
              </w:rPr>
              <w:t>Feb;57(1):57-8.</w:t>
            </w:r>
          </w:p>
        </w:tc>
        <w:tc>
          <w:tcPr>
            <w:tcW w:w="1800" w:type="dxa"/>
            <w:noWrap w:val="0"/>
            <w:vAlign w:val="top"/>
          </w:tcPr>
          <w:p w14:paraId="24A4567E"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PUBMED</w:t>
            </w:r>
          </w:p>
        </w:tc>
      </w:tr>
      <w:tr w14:paraId="1721F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30" w:type="dxa"/>
            <w:noWrap w:val="0"/>
            <w:vAlign w:val="top"/>
          </w:tcPr>
          <w:p w14:paraId="3BD7B63D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10</w:t>
            </w:r>
          </w:p>
        </w:tc>
        <w:tc>
          <w:tcPr>
            <w:tcW w:w="1918" w:type="dxa"/>
            <w:vMerge w:val="continue"/>
            <w:noWrap w:val="0"/>
            <w:vAlign w:val="top"/>
          </w:tcPr>
          <w:p w14:paraId="6AC0BE0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5925" w:type="dxa"/>
            <w:noWrap w:val="0"/>
            <w:vAlign w:val="top"/>
          </w:tcPr>
          <w:p w14:paraId="6D1DB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Myocardial infarction increases progressive visual field defects in well treated early primary open angle glaucoma--a prospective case control study.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Mondal L, Baidya K , Choudhury H ,  Roy R</w:t>
            </w:r>
          </w:p>
        </w:tc>
        <w:tc>
          <w:tcPr>
            <w:tcW w:w="1800" w:type="dxa"/>
            <w:noWrap w:val="0"/>
            <w:vAlign w:val="top"/>
          </w:tcPr>
          <w:p w14:paraId="4202A68D"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PUBMED</w:t>
            </w:r>
          </w:p>
        </w:tc>
      </w:tr>
      <w:tr w14:paraId="0785C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noWrap w:val="0"/>
            <w:vAlign w:val="top"/>
          </w:tcPr>
          <w:p w14:paraId="3024A6C8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11</w:t>
            </w:r>
          </w:p>
        </w:tc>
        <w:tc>
          <w:tcPr>
            <w:tcW w:w="1918" w:type="dxa"/>
            <w:vMerge w:val="continue"/>
            <w:noWrap w:val="0"/>
            <w:vAlign w:val="top"/>
          </w:tcPr>
          <w:p w14:paraId="0B98DBB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5925" w:type="dxa"/>
            <w:noWrap w:val="0"/>
            <w:vAlign w:val="top"/>
          </w:tcPr>
          <w:p w14:paraId="202FA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Datta, K Baidya, M Banerjee, S Mahapatra. Retinal Nerve Fibre Layer Thinning in Patients with Thalassaemia, Iron Deficiency</w:t>
            </w:r>
            <w:r>
              <w:rPr>
                <w:rFonts w:hint="default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vertAlign w:val="baseline"/>
              </w:rPr>
              <w:t>Anaemia, and Anaemia of Chronic Diseases, J Ophthalmol, 2020 Nov 18:2020:9268364</w:t>
            </w:r>
          </w:p>
        </w:tc>
        <w:tc>
          <w:tcPr>
            <w:tcW w:w="1800" w:type="dxa"/>
            <w:noWrap w:val="0"/>
            <w:vAlign w:val="top"/>
          </w:tcPr>
          <w:p w14:paraId="61217AD2"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PUBMED</w:t>
            </w:r>
          </w:p>
        </w:tc>
      </w:tr>
    </w:tbl>
    <w:p w14:paraId="1BFBE66F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75F87"/>
    <w:rsid w:val="6367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2024-07-05T11:54:00Z</dcterms:created>
  <dc:creator>eye dept NRS</dc:creator>
  <cp:lastModifiedBy>eye dept NRS</cp:lastModifiedBy>
  <dcterms:modified xsi:type="dcterms:W3CDTF">2024-07-05T11:54:48Z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725D27CC66B7474B94F6892F769A6587_11</vt:lpwstr>
  </property>
</Properties>
</file>