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3"/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1554"/>
        <w:gridCol w:w="5109"/>
        <w:gridCol w:w="1275"/>
        <w:gridCol w:w="993"/>
      </w:tblGrid>
      <w:tr w:rsidR="00280CBC" w:rsidTr="00280CBC">
        <w:trPr>
          <w:trHeight w:val="5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BC" w:rsidRDefault="00280CBC" w:rsidP="00280CBC">
            <w:pPr>
              <w:pStyle w:val="TableParagraph"/>
              <w:ind w:left="10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Sr.No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BC" w:rsidRDefault="00280CBC" w:rsidP="00280CBC">
            <w:pPr>
              <w:pStyle w:val="TableParagraph"/>
              <w:ind w:left="107" w:right="568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FacultyName</w:t>
            </w:r>
            <w:proofErr w:type="spellEnd"/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BC" w:rsidRDefault="00280CBC" w:rsidP="00280CBC">
            <w:pPr>
              <w:pStyle w:val="TableParagraph"/>
              <w:ind w:left="107" w:right="33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Publication in Vancouver referencing style.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BC" w:rsidRDefault="00280CBC" w:rsidP="00280CBC">
            <w:pPr>
              <w:pStyle w:val="TableParagraph"/>
              <w:ind w:left="107" w:right="13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Pubmed</w:t>
            </w:r>
            <w:proofErr w:type="spellEnd"/>
          </w:p>
          <w:p w:rsidR="00280CBC" w:rsidRDefault="00280CBC" w:rsidP="00280CBC">
            <w:pPr>
              <w:pStyle w:val="TableParagraph"/>
              <w:ind w:left="107" w:right="13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Indexed</w:t>
            </w:r>
            <w:proofErr w:type="spellEnd"/>
          </w:p>
          <w:p w:rsidR="00280CBC" w:rsidRDefault="00280CBC" w:rsidP="00280CBC">
            <w:pPr>
              <w:pStyle w:val="TableParagraph"/>
              <w:ind w:left="107" w:right="13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Yes/No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BC" w:rsidRDefault="00280CBC" w:rsidP="00280CBC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Scopus</w:t>
            </w:r>
          </w:p>
        </w:tc>
      </w:tr>
      <w:tr w:rsidR="00280CBC" w:rsidTr="00280CBC">
        <w:trPr>
          <w:trHeight w:val="2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Bhattacharyya D, Roy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Chowdhury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A. Comparison of Engineering Changes in Uterine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Leiomyomas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Adenomyosis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of Uterus with Correlation of Serum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Estradiol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and Progesterone Levels. Journal of Medical Science and Clinical Research. 2017; 5(11): 30294-30300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280CBC" w:rsidTr="00280CBC">
        <w:trPr>
          <w:trHeight w:val="13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Bhattacharyya D, Bhattacharyya A. Platelet Count in cases of Plasmodium </w:t>
            </w:r>
            <w:proofErr w:type="spellStart"/>
            <w:r>
              <w:t>vivax</w:t>
            </w:r>
            <w:proofErr w:type="spellEnd"/>
            <w:r>
              <w:t xml:space="preserve"> Malaria- A 5 year Retrospective Study. Journal of Medical Science and Clinical Research. 2020; 8(04</w:t>
            </w:r>
            <w:proofErr w:type="gramStart"/>
            <w:r>
              <w:t>) :</w:t>
            </w:r>
            <w:proofErr w:type="gramEnd"/>
            <w:r>
              <w:t xml:space="preserve"> 552-555.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No</w:t>
            </w:r>
          </w:p>
        </w:tc>
      </w:tr>
      <w:tr w:rsidR="00280CBC" w:rsidTr="00280CBC">
        <w:trPr>
          <w:trHeight w:val="14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BhattacharyyaA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, Bhattacharyya D,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Mukherjee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J. The Connection of Growth and Medication of Covid-19 affected people after 30days of Lockdown in India. International Journal of Scientific </w:t>
            </w:r>
            <w:proofErr w:type="gramStart"/>
            <w:r>
              <w:rPr>
                <w:rFonts w:ascii="Times New Roman"/>
                <w:sz w:val="24"/>
                <w:szCs w:val="24"/>
              </w:rPr>
              <w:t>Research .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2020; 9(7): 1-3.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No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(indexed in index </w:t>
            </w:r>
            <w:proofErr w:type="spellStart"/>
            <w:r>
              <w:rPr>
                <w:rFonts w:ascii="Times New Roman"/>
                <w:sz w:val="20"/>
              </w:rPr>
              <w:t>Medicus</w:t>
            </w:r>
            <w:proofErr w:type="spellEnd"/>
            <w:r>
              <w:rPr>
                <w:rFonts w:ascii="Times New Roman"/>
                <w:sz w:val="20"/>
              </w:rPr>
              <w:t xml:space="preserve">, DJOF) 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   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CBC" w:rsidTr="00280CBC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Bhattacharyya D, Das TK,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Mukherjee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S,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Mahata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M. Study of heterogeneity of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sino</w:t>
            </w:r>
            <w:proofErr w:type="spellEnd"/>
            <w:r>
              <w:rPr>
                <w:rFonts w:ascii="Times New Roman"/>
                <w:sz w:val="24"/>
                <w:szCs w:val="24"/>
              </w:rPr>
              <w:t>-nasal lesions in urban population of north Kolkata and it's fringes- a 5 year retrospective analysis: experience of a tertiary care centre. International Journal of Research in Medical Sciences. 2017; 6(1): 82-87.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No</w:t>
            </w:r>
          </w:p>
        </w:tc>
      </w:tr>
      <w:tr w:rsidR="00280CBC" w:rsidTr="00280CBC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Pal S,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Pradhan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R, Bose K,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A, Bhattacharyya D. Fine needle aspiration cytology of minor salivary glands tumors: A retrospective 5-year study of 42 cases in a tertiary care hospital. Journal of Cancer Research and Therapeutics. 2019; 15(3): 686-689.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 </w:t>
            </w:r>
          </w:p>
        </w:tc>
      </w:tr>
      <w:tr w:rsidR="00280CBC" w:rsidTr="00280CBC">
        <w:trPr>
          <w:trHeight w:val="147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Pradhan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R, Pal S</w:t>
            </w:r>
            <w:proofErr w:type="gramStart"/>
            <w:r>
              <w:rPr>
                <w:rFonts w:asci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Biswas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</w:rPr>
              <w:t xml:space="preserve"> B,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Banerjee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A, Bhattacharyya D.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Clinicopathological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pattern of brain tumors: A 3-year study in a tertiary care hospital in India. Clinical Cancer Investigation Journal. 2016; 5(5): 437-440.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Yes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</w:t>
            </w:r>
          </w:p>
        </w:tc>
      </w:tr>
      <w:tr w:rsidR="00280CBC" w:rsidTr="00280CBC">
        <w:trPr>
          <w:trHeight w:val="27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Bhattacharyya S,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S,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Pradhan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R, Bhattacharyya D. Comparison of efficacy, compliance and incidence of hypoglycemia between conventional basal bolus and Oral hypoglycemic (OHA) regimen with a basal plus oral hypoglycemic regimen. International Journal of Pharmaceutical Biological and Chemical Sciences. 2015; 4(4): 16-19.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No</w:t>
            </w: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</w:p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(indexed in index Copernicus)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C" w:rsidRDefault="00280CBC" w:rsidP="00280C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No</w:t>
            </w:r>
          </w:p>
        </w:tc>
      </w:tr>
    </w:tbl>
    <w:tbl>
      <w:tblPr>
        <w:tblStyle w:val="TableGrid"/>
        <w:tblW w:w="9606" w:type="dxa"/>
        <w:tblLayout w:type="fixed"/>
        <w:tblLook w:val="04A0"/>
      </w:tblPr>
      <w:tblGrid>
        <w:gridCol w:w="697"/>
        <w:gridCol w:w="1645"/>
        <w:gridCol w:w="4498"/>
        <w:gridCol w:w="2766"/>
      </w:tblGrid>
      <w:tr w:rsidR="00280CBC" w:rsidTr="00280CBC">
        <w:tc>
          <w:tcPr>
            <w:tcW w:w="697" w:type="dxa"/>
          </w:tcPr>
          <w:p w:rsidR="00280CBC" w:rsidRPr="0063084B" w:rsidRDefault="00280CBC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280CBC" w:rsidRPr="0063084B" w:rsidRDefault="00280CBC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498" w:type="dxa"/>
          </w:tcPr>
          <w:p w:rsidR="00280CBC" w:rsidRPr="0063084B" w:rsidRDefault="00280CBC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2766" w:type="dxa"/>
          </w:tcPr>
          <w:p w:rsidR="00280CBC" w:rsidRPr="0063084B" w:rsidRDefault="00280CBC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280CBC" w:rsidTr="00280CBC">
        <w:tc>
          <w:tcPr>
            <w:tcW w:w="697" w:type="dxa"/>
          </w:tcPr>
          <w:p w:rsidR="00280CBC" w:rsidRDefault="00280CBC" w:rsidP="0080637F">
            <w:r>
              <w:t>1.</w:t>
            </w:r>
          </w:p>
          <w:p w:rsidR="00280CBC" w:rsidRDefault="00280CBC" w:rsidP="0080637F"/>
        </w:tc>
        <w:tc>
          <w:tcPr>
            <w:tcW w:w="1645" w:type="dxa"/>
          </w:tcPr>
          <w:p w:rsidR="00280CBC" w:rsidRDefault="00280CBC" w:rsidP="0080637F"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Debosmita</w:t>
            </w:r>
            <w:proofErr w:type="spellEnd"/>
            <w:r>
              <w:rPr>
                <w:rFonts w:ascii="Times New Roman"/>
                <w:sz w:val="20"/>
              </w:rPr>
              <w:t xml:space="preserve"> Bhattacharyya</w:t>
            </w:r>
          </w:p>
        </w:tc>
        <w:tc>
          <w:tcPr>
            <w:tcW w:w="4498" w:type="dxa"/>
          </w:tcPr>
          <w:p w:rsidR="00280CBC" w:rsidRDefault="00280CBC" w:rsidP="0080637F">
            <w:r>
              <w:t>Basic Course in Biomedical Research</w:t>
            </w:r>
          </w:p>
        </w:tc>
        <w:tc>
          <w:tcPr>
            <w:tcW w:w="2766" w:type="dxa"/>
          </w:tcPr>
          <w:p w:rsidR="00280CBC" w:rsidRDefault="00280CBC" w:rsidP="0080637F">
            <w:r>
              <w:t>August- December 2021</w:t>
            </w:r>
          </w:p>
        </w:tc>
      </w:tr>
    </w:tbl>
    <w:p w:rsidR="00280CBC" w:rsidRDefault="00280CBC" w:rsidP="00280CBC"/>
    <w:sectPr w:rsidR="00280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80CBC"/>
    <w:rsid w:val="0028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80C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280CB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2024-06-25T08:38:00Z</dcterms:created>
  <dcterms:modified xsi:type="dcterms:W3CDTF">2024-06-25T08:40:00Z</dcterms:modified>
</cp:coreProperties>
</file>