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34"/>
        <w:gridCol w:w="1575"/>
        <w:gridCol w:w="5229"/>
        <w:gridCol w:w="971"/>
        <w:gridCol w:w="933"/>
      </w:tblGrid>
      <w:tr w:rsidR="00C33172" w:rsidTr="00C33172">
        <w:tc>
          <w:tcPr>
            <w:tcW w:w="534" w:type="dxa"/>
          </w:tcPr>
          <w:p w:rsidR="00C33172" w:rsidRDefault="00C33172">
            <w:proofErr w:type="spellStart"/>
            <w:r>
              <w:t>Sl</w:t>
            </w:r>
            <w:proofErr w:type="spellEnd"/>
            <w:r>
              <w:t xml:space="preserve"> No.</w:t>
            </w:r>
          </w:p>
        </w:tc>
        <w:tc>
          <w:tcPr>
            <w:tcW w:w="1575" w:type="dxa"/>
          </w:tcPr>
          <w:p w:rsidR="00C33172" w:rsidRDefault="00C33172">
            <w:r>
              <w:t>Name</w:t>
            </w:r>
          </w:p>
        </w:tc>
        <w:tc>
          <w:tcPr>
            <w:tcW w:w="5229" w:type="dxa"/>
          </w:tcPr>
          <w:p w:rsidR="00C33172" w:rsidRDefault="00C33172">
            <w:r>
              <w:t>Publication</w:t>
            </w:r>
          </w:p>
        </w:tc>
        <w:tc>
          <w:tcPr>
            <w:tcW w:w="971" w:type="dxa"/>
          </w:tcPr>
          <w:p w:rsidR="00C33172" w:rsidRDefault="00C33172">
            <w:proofErr w:type="spellStart"/>
            <w:r>
              <w:t>Pubmed</w:t>
            </w:r>
            <w:proofErr w:type="spellEnd"/>
            <w:r>
              <w:t xml:space="preserve"> Indexed</w:t>
            </w:r>
          </w:p>
        </w:tc>
        <w:tc>
          <w:tcPr>
            <w:tcW w:w="933" w:type="dxa"/>
          </w:tcPr>
          <w:p w:rsidR="00C33172" w:rsidRDefault="00C33172">
            <w:proofErr w:type="spellStart"/>
            <w:r>
              <w:t>Scopos</w:t>
            </w:r>
            <w:proofErr w:type="spellEnd"/>
            <w:r>
              <w:t xml:space="preserve"> Indexed</w:t>
            </w:r>
          </w:p>
        </w:tc>
      </w:tr>
      <w:tr w:rsidR="00C33172" w:rsidTr="00C33172">
        <w:tc>
          <w:tcPr>
            <w:tcW w:w="534" w:type="dxa"/>
          </w:tcPr>
          <w:p w:rsidR="00C33172" w:rsidRDefault="00C33172"/>
        </w:tc>
        <w:tc>
          <w:tcPr>
            <w:tcW w:w="1575" w:type="dxa"/>
          </w:tcPr>
          <w:p w:rsidR="00C33172" w:rsidRDefault="00C33172">
            <w:proofErr w:type="spellStart"/>
            <w:r>
              <w:t>Saurabh</w:t>
            </w:r>
            <w:proofErr w:type="spellEnd"/>
            <w:r>
              <w:t xml:space="preserve"> </w:t>
            </w:r>
            <w:proofErr w:type="spellStart"/>
            <w:r>
              <w:t>Chattopadhyay</w:t>
            </w:r>
            <w:proofErr w:type="spellEnd"/>
          </w:p>
        </w:tc>
        <w:tc>
          <w:tcPr>
            <w:tcW w:w="5229" w:type="dxa"/>
          </w:tcPr>
          <w:p w:rsidR="00C33172" w:rsidRDefault="00C33172"/>
        </w:tc>
        <w:tc>
          <w:tcPr>
            <w:tcW w:w="971" w:type="dxa"/>
          </w:tcPr>
          <w:p w:rsidR="00C33172" w:rsidRDefault="00C33172"/>
        </w:tc>
        <w:tc>
          <w:tcPr>
            <w:tcW w:w="933" w:type="dxa"/>
          </w:tcPr>
          <w:p w:rsidR="00C33172" w:rsidRDefault="00C33172"/>
        </w:tc>
      </w:tr>
      <w:tr w:rsidR="00C33172" w:rsidTr="00C33172">
        <w:tc>
          <w:tcPr>
            <w:tcW w:w="534" w:type="dxa"/>
          </w:tcPr>
          <w:p w:rsidR="00C33172" w:rsidRDefault="00C33172">
            <w:r>
              <w:t>1</w:t>
            </w:r>
          </w:p>
        </w:tc>
        <w:tc>
          <w:tcPr>
            <w:tcW w:w="1575" w:type="dxa"/>
          </w:tcPr>
          <w:p w:rsidR="00C33172" w:rsidRDefault="00C33172"/>
        </w:tc>
        <w:tc>
          <w:tcPr>
            <w:tcW w:w="5229" w:type="dxa"/>
          </w:tcPr>
          <w:p w:rsidR="00C33172" w:rsidRDefault="00C33172" w:rsidP="00C33172">
            <w:pPr>
              <w:spacing w:line="360" w:lineRule="auto"/>
              <w:jc w:val="both"/>
            </w:pPr>
            <w:proofErr w:type="spellStart"/>
            <w:r>
              <w:t>Chattopadhyay</w:t>
            </w:r>
            <w:proofErr w:type="spellEnd"/>
            <w:r>
              <w:t xml:space="preserve"> S, Pal I. Survival following accidental ligature strangulation: A case report. Journal of Forensic and legal Medicine. 2008; 15: 53-55. </w:t>
            </w:r>
          </w:p>
          <w:p w:rsidR="00C33172" w:rsidRDefault="00C33172" w:rsidP="00C33172">
            <w:pPr>
              <w:spacing w:line="360" w:lineRule="auto"/>
              <w:jc w:val="both"/>
            </w:pPr>
          </w:p>
          <w:p w:rsidR="00C33172" w:rsidRDefault="00C33172"/>
        </w:tc>
        <w:tc>
          <w:tcPr>
            <w:tcW w:w="971" w:type="dxa"/>
          </w:tcPr>
          <w:p w:rsidR="00C33172" w:rsidRDefault="00C33172"/>
          <w:p w:rsidR="00C33172" w:rsidRDefault="00C33172">
            <w:r>
              <w:t>Yes</w:t>
            </w:r>
          </w:p>
        </w:tc>
        <w:tc>
          <w:tcPr>
            <w:tcW w:w="933" w:type="dxa"/>
          </w:tcPr>
          <w:p w:rsidR="00C33172" w:rsidRDefault="00C33172"/>
          <w:p w:rsidR="009E6879" w:rsidRDefault="009E6879">
            <w:r>
              <w:t>Yes</w:t>
            </w:r>
          </w:p>
        </w:tc>
      </w:tr>
      <w:tr w:rsidR="00C33172" w:rsidTr="00C33172">
        <w:tc>
          <w:tcPr>
            <w:tcW w:w="534" w:type="dxa"/>
          </w:tcPr>
          <w:p w:rsidR="00C33172" w:rsidRDefault="00C33172">
            <w:r>
              <w:t>2.</w:t>
            </w:r>
          </w:p>
        </w:tc>
        <w:tc>
          <w:tcPr>
            <w:tcW w:w="1575" w:type="dxa"/>
          </w:tcPr>
          <w:p w:rsidR="00C33172" w:rsidRDefault="00C33172"/>
        </w:tc>
        <w:tc>
          <w:tcPr>
            <w:tcW w:w="5229" w:type="dxa"/>
          </w:tcPr>
          <w:p w:rsidR="00C33172" w:rsidRDefault="00C33172" w:rsidP="00C33172">
            <w:pPr>
              <w:spacing w:line="360" w:lineRule="auto"/>
              <w:jc w:val="both"/>
            </w:pPr>
            <w:proofErr w:type="spellStart"/>
            <w:r>
              <w:t>Chattopadhyay</w:t>
            </w:r>
            <w:proofErr w:type="spellEnd"/>
            <w:r>
              <w:t xml:space="preserve"> S, Pal I. Iatrogenic injuries leading to suspicion of homicide. Journal of Forensic and legal Medicine. 2008; 15: 447-449.</w:t>
            </w:r>
          </w:p>
          <w:p w:rsidR="00C33172" w:rsidRDefault="00C33172"/>
        </w:tc>
        <w:tc>
          <w:tcPr>
            <w:tcW w:w="971" w:type="dxa"/>
          </w:tcPr>
          <w:p w:rsidR="00C33172" w:rsidRDefault="001C1D96">
            <w:r>
              <w:t>Yes</w:t>
            </w:r>
          </w:p>
        </w:tc>
        <w:tc>
          <w:tcPr>
            <w:tcW w:w="933" w:type="dxa"/>
          </w:tcPr>
          <w:p w:rsidR="00C33172" w:rsidRDefault="009E6879">
            <w:r>
              <w:t>Yes</w:t>
            </w:r>
          </w:p>
        </w:tc>
      </w:tr>
      <w:tr w:rsidR="00C33172" w:rsidTr="00C33172">
        <w:tc>
          <w:tcPr>
            <w:tcW w:w="534" w:type="dxa"/>
          </w:tcPr>
          <w:p w:rsidR="00C33172" w:rsidRDefault="00C33172">
            <w:r>
              <w:t>3.</w:t>
            </w:r>
          </w:p>
        </w:tc>
        <w:tc>
          <w:tcPr>
            <w:tcW w:w="1575" w:type="dxa"/>
          </w:tcPr>
          <w:p w:rsidR="00C33172" w:rsidRDefault="00C33172"/>
        </w:tc>
        <w:tc>
          <w:tcPr>
            <w:tcW w:w="5229" w:type="dxa"/>
          </w:tcPr>
          <w:p w:rsidR="00C33172" w:rsidRDefault="00C33172" w:rsidP="00C33172">
            <w:pPr>
              <w:spacing w:line="360" w:lineRule="auto"/>
              <w:jc w:val="both"/>
            </w:pPr>
            <w:proofErr w:type="spellStart"/>
            <w:r>
              <w:t>Chattopadhyay</w:t>
            </w:r>
            <w:proofErr w:type="spellEnd"/>
            <w:r>
              <w:t xml:space="preserve"> S. Accidental Low Velocity Atypical Missile Injury to the Head. The American Journal of Forensic Medicine and Pathology. 2008; 29(4): 334-336.</w:t>
            </w:r>
          </w:p>
          <w:p w:rsidR="00C33172" w:rsidRDefault="00C33172"/>
        </w:tc>
        <w:tc>
          <w:tcPr>
            <w:tcW w:w="971" w:type="dxa"/>
          </w:tcPr>
          <w:p w:rsidR="00C33172" w:rsidRDefault="001C1D96">
            <w:r>
              <w:t>Yes</w:t>
            </w:r>
          </w:p>
        </w:tc>
        <w:tc>
          <w:tcPr>
            <w:tcW w:w="933" w:type="dxa"/>
          </w:tcPr>
          <w:p w:rsidR="00C33172" w:rsidRDefault="009E6879">
            <w:r>
              <w:t>Yes</w:t>
            </w:r>
          </w:p>
        </w:tc>
      </w:tr>
      <w:tr w:rsidR="00C33172" w:rsidTr="00C33172">
        <w:tc>
          <w:tcPr>
            <w:tcW w:w="534" w:type="dxa"/>
          </w:tcPr>
          <w:p w:rsidR="00C33172" w:rsidRDefault="00C33172">
            <w:r>
              <w:t>4.</w:t>
            </w:r>
          </w:p>
        </w:tc>
        <w:tc>
          <w:tcPr>
            <w:tcW w:w="1575" w:type="dxa"/>
          </w:tcPr>
          <w:p w:rsidR="00C33172" w:rsidRDefault="00C33172"/>
        </w:tc>
        <w:tc>
          <w:tcPr>
            <w:tcW w:w="5229" w:type="dxa"/>
          </w:tcPr>
          <w:p w:rsidR="00C33172" w:rsidRDefault="00C33172" w:rsidP="00C33172">
            <w:pPr>
              <w:spacing w:line="360" w:lineRule="auto"/>
              <w:jc w:val="both"/>
            </w:pPr>
            <w:proofErr w:type="spellStart"/>
            <w:r>
              <w:t>Chattopadhyay</w:t>
            </w:r>
            <w:proofErr w:type="spellEnd"/>
            <w:r>
              <w:t xml:space="preserve"> S, </w:t>
            </w:r>
            <w:proofErr w:type="spellStart"/>
            <w:r>
              <w:t>Sukul</w:t>
            </w:r>
            <w:proofErr w:type="spellEnd"/>
            <w:r>
              <w:t xml:space="preserve"> B, Das SK. Fatal </w:t>
            </w:r>
            <w:proofErr w:type="spellStart"/>
            <w:r>
              <w:t>transorbital</w:t>
            </w:r>
            <w:proofErr w:type="spellEnd"/>
            <w:r>
              <w:t xml:space="preserve"> head injury by bicycle brake handle. Journal of Forensic and Legal Medicine. 2009; 16: 352-353.</w:t>
            </w:r>
          </w:p>
          <w:p w:rsidR="00C33172" w:rsidRDefault="00C33172"/>
        </w:tc>
        <w:tc>
          <w:tcPr>
            <w:tcW w:w="971" w:type="dxa"/>
          </w:tcPr>
          <w:p w:rsidR="00C33172" w:rsidRDefault="001C1D96">
            <w:r>
              <w:t>Yes</w:t>
            </w:r>
          </w:p>
        </w:tc>
        <w:tc>
          <w:tcPr>
            <w:tcW w:w="933" w:type="dxa"/>
          </w:tcPr>
          <w:p w:rsidR="00C33172" w:rsidRDefault="009E6879">
            <w:r>
              <w:t>Yes</w:t>
            </w:r>
          </w:p>
        </w:tc>
      </w:tr>
      <w:tr w:rsidR="00C33172" w:rsidTr="00C33172">
        <w:tc>
          <w:tcPr>
            <w:tcW w:w="534" w:type="dxa"/>
          </w:tcPr>
          <w:p w:rsidR="00C33172" w:rsidRDefault="00C33172">
            <w:r>
              <w:t>5.</w:t>
            </w:r>
          </w:p>
        </w:tc>
        <w:tc>
          <w:tcPr>
            <w:tcW w:w="1575" w:type="dxa"/>
          </w:tcPr>
          <w:p w:rsidR="00C33172" w:rsidRDefault="00C33172"/>
        </w:tc>
        <w:tc>
          <w:tcPr>
            <w:tcW w:w="5229" w:type="dxa"/>
          </w:tcPr>
          <w:p w:rsidR="00952A2E" w:rsidRDefault="00952A2E" w:rsidP="00952A2E">
            <w:pPr>
              <w:spacing w:line="360" w:lineRule="auto"/>
              <w:jc w:val="both"/>
            </w:pPr>
            <w:proofErr w:type="spellStart"/>
            <w:r>
              <w:t>Chattopadhyay</w:t>
            </w:r>
            <w:proofErr w:type="spellEnd"/>
            <w:r>
              <w:t xml:space="preserve"> S, </w:t>
            </w:r>
            <w:proofErr w:type="spellStart"/>
            <w:r>
              <w:t>Tripathi</w:t>
            </w:r>
            <w:proofErr w:type="spellEnd"/>
            <w:r>
              <w:t xml:space="preserve"> C. Skull fracture and haemorrhage pattern among fatal and non fatal head injury assault victims – a critical analysis. Journal of Injury   and   Violence Research. 2010; 2(2): 99-103.</w:t>
            </w:r>
          </w:p>
          <w:p w:rsidR="00C33172" w:rsidRDefault="00C33172"/>
        </w:tc>
        <w:tc>
          <w:tcPr>
            <w:tcW w:w="971" w:type="dxa"/>
          </w:tcPr>
          <w:p w:rsidR="00C33172" w:rsidRDefault="001C1D96">
            <w:r>
              <w:t>Yes</w:t>
            </w:r>
          </w:p>
        </w:tc>
        <w:tc>
          <w:tcPr>
            <w:tcW w:w="933" w:type="dxa"/>
          </w:tcPr>
          <w:p w:rsidR="00C33172" w:rsidRDefault="00C33172"/>
        </w:tc>
      </w:tr>
      <w:tr w:rsidR="00C33172" w:rsidTr="00C33172">
        <w:tc>
          <w:tcPr>
            <w:tcW w:w="534" w:type="dxa"/>
          </w:tcPr>
          <w:p w:rsidR="00C33172" w:rsidRDefault="00952A2E">
            <w:r>
              <w:t>6.</w:t>
            </w:r>
          </w:p>
        </w:tc>
        <w:tc>
          <w:tcPr>
            <w:tcW w:w="1575" w:type="dxa"/>
          </w:tcPr>
          <w:p w:rsidR="00C33172" w:rsidRDefault="00C33172"/>
        </w:tc>
        <w:tc>
          <w:tcPr>
            <w:tcW w:w="5229" w:type="dxa"/>
          </w:tcPr>
          <w:p w:rsidR="00952A2E" w:rsidRDefault="00952A2E" w:rsidP="00952A2E">
            <w:pPr>
              <w:spacing w:line="360" w:lineRule="auto"/>
              <w:jc w:val="both"/>
            </w:pPr>
            <w:proofErr w:type="spellStart"/>
            <w:r>
              <w:t>Chattopadhyay</w:t>
            </w:r>
            <w:proofErr w:type="spellEnd"/>
            <w:r>
              <w:t xml:space="preserve"> S, Das SK. A study of fatal cases of lightning strikes in </w:t>
            </w:r>
            <w:proofErr w:type="spellStart"/>
            <w:r>
              <w:t>Bankura</w:t>
            </w:r>
            <w:proofErr w:type="spellEnd"/>
            <w:r>
              <w:t xml:space="preserve"> district of West Bengal. Journal of </w:t>
            </w:r>
            <w:smartTag w:uri="urn:schemas-microsoft-com:office:smarttags" w:element="place">
              <w:smartTag w:uri="urn:schemas-microsoft-com:office:smarttags" w:element="PlaceName">
                <w:r>
                  <w:t>Indian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Academy</w:t>
                </w:r>
              </w:smartTag>
            </w:smartTag>
            <w:r>
              <w:t xml:space="preserve"> of Forensic Medicine. 2009</w:t>
            </w:r>
            <w:proofErr w:type="gramStart"/>
            <w:r>
              <w:t>;  31</w:t>
            </w:r>
            <w:proofErr w:type="gramEnd"/>
            <w:r>
              <w:t>(3): 196-199.</w:t>
            </w:r>
          </w:p>
          <w:p w:rsidR="00C33172" w:rsidRDefault="00C33172"/>
        </w:tc>
        <w:tc>
          <w:tcPr>
            <w:tcW w:w="971" w:type="dxa"/>
          </w:tcPr>
          <w:p w:rsidR="00C33172" w:rsidRDefault="00A779B6">
            <w:r>
              <w:t>No</w:t>
            </w:r>
          </w:p>
        </w:tc>
        <w:tc>
          <w:tcPr>
            <w:tcW w:w="933" w:type="dxa"/>
          </w:tcPr>
          <w:p w:rsidR="00C33172" w:rsidRDefault="00A779B6">
            <w:r>
              <w:t>Yes</w:t>
            </w:r>
          </w:p>
        </w:tc>
      </w:tr>
      <w:tr w:rsidR="00C33172" w:rsidTr="00C33172">
        <w:tc>
          <w:tcPr>
            <w:tcW w:w="534" w:type="dxa"/>
          </w:tcPr>
          <w:p w:rsidR="00C33172" w:rsidRDefault="00952A2E">
            <w:r>
              <w:t>7.</w:t>
            </w:r>
          </w:p>
        </w:tc>
        <w:tc>
          <w:tcPr>
            <w:tcW w:w="1575" w:type="dxa"/>
          </w:tcPr>
          <w:p w:rsidR="00C33172" w:rsidRDefault="00C33172"/>
        </w:tc>
        <w:tc>
          <w:tcPr>
            <w:tcW w:w="5229" w:type="dxa"/>
          </w:tcPr>
          <w:p w:rsidR="00952A2E" w:rsidRDefault="00952A2E" w:rsidP="00952A2E">
            <w:pPr>
              <w:spacing w:line="360" w:lineRule="auto"/>
              <w:jc w:val="both"/>
            </w:pPr>
            <w:proofErr w:type="spellStart"/>
            <w:r>
              <w:t>Chattopadhyay</w:t>
            </w:r>
            <w:proofErr w:type="spellEnd"/>
            <w:r>
              <w:t xml:space="preserve"> S, </w:t>
            </w:r>
            <w:proofErr w:type="spellStart"/>
            <w:r>
              <w:t>Tripathi</w:t>
            </w:r>
            <w:proofErr w:type="spellEnd"/>
            <w:r>
              <w:t xml:space="preserve"> CB. Fatal Homicidal Firearm Injuries on the Head. Indian Internet Journal of Forensic Medicine and Toxicology. 2004; 2(3).</w:t>
            </w:r>
          </w:p>
          <w:p w:rsidR="00C33172" w:rsidRDefault="00C33172"/>
        </w:tc>
        <w:tc>
          <w:tcPr>
            <w:tcW w:w="971" w:type="dxa"/>
          </w:tcPr>
          <w:p w:rsidR="00C33172" w:rsidRDefault="00A779B6">
            <w:r>
              <w:t>No</w:t>
            </w:r>
          </w:p>
        </w:tc>
        <w:tc>
          <w:tcPr>
            <w:tcW w:w="933" w:type="dxa"/>
          </w:tcPr>
          <w:p w:rsidR="00C33172" w:rsidRDefault="00A779B6">
            <w:r>
              <w:t>No</w:t>
            </w:r>
          </w:p>
        </w:tc>
      </w:tr>
      <w:tr w:rsidR="00C33172" w:rsidTr="00C33172">
        <w:tc>
          <w:tcPr>
            <w:tcW w:w="534" w:type="dxa"/>
          </w:tcPr>
          <w:p w:rsidR="00C33172" w:rsidRDefault="00952A2E">
            <w:r>
              <w:t>8.</w:t>
            </w:r>
          </w:p>
        </w:tc>
        <w:tc>
          <w:tcPr>
            <w:tcW w:w="1575" w:type="dxa"/>
          </w:tcPr>
          <w:p w:rsidR="00C33172" w:rsidRDefault="00C33172"/>
        </w:tc>
        <w:tc>
          <w:tcPr>
            <w:tcW w:w="5229" w:type="dxa"/>
          </w:tcPr>
          <w:p w:rsidR="00952A2E" w:rsidRDefault="00952A2E" w:rsidP="00952A2E">
            <w:pPr>
              <w:spacing w:line="360" w:lineRule="auto"/>
              <w:jc w:val="both"/>
            </w:pPr>
            <w:proofErr w:type="spellStart"/>
            <w:r>
              <w:t>Kanchan</w:t>
            </w:r>
            <w:proofErr w:type="spellEnd"/>
            <w:r>
              <w:t xml:space="preserve"> T, </w:t>
            </w:r>
            <w:proofErr w:type="spellStart"/>
            <w:r>
              <w:t>Chattopadhyay</w:t>
            </w:r>
            <w:proofErr w:type="spellEnd"/>
            <w:r>
              <w:t xml:space="preserve"> S. </w:t>
            </w:r>
            <w:proofErr w:type="spellStart"/>
            <w:r>
              <w:t>Disrtibution</w:t>
            </w:r>
            <w:proofErr w:type="spellEnd"/>
            <w:r>
              <w:t xml:space="preserve"> of Fingerprint Patterns among Medical Students. JIAFM. 2006; 28(2): 65-68.</w:t>
            </w:r>
          </w:p>
          <w:p w:rsidR="00C33172" w:rsidRDefault="00C33172"/>
        </w:tc>
        <w:tc>
          <w:tcPr>
            <w:tcW w:w="971" w:type="dxa"/>
          </w:tcPr>
          <w:p w:rsidR="00C33172" w:rsidRDefault="00A779B6">
            <w:r>
              <w:lastRenderedPageBreak/>
              <w:t>No</w:t>
            </w:r>
          </w:p>
        </w:tc>
        <w:tc>
          <w:tcPr>
            <w:tcW w:w="933" w:type="dxa"/>
          </w:tcPr>
          <w:p w:rsidR="00C33172" w:rsidRDefault="00A779B6">
            <w:r>
              <w:t>Yes</w:t>
            </w:r>
          </w:p>
        </w:tc>
      </w:tr>
      <w:tr w:rsidR="00952A2E" w:rsidTr="00C33172">
        <w:tc>
          <w:tcPr>
            <w:tcW w:w="534" w:type="dxa"/>
          </w:tcPr>
          <w:p w:rsidR="00952A2E" w:rsidRDefault="00952A2E">
            <w:r>
              <w:lastRenderedPageBreak/>
              <w:t>9.</w:t>
            </w:r>
          </w:p>
        </w:tc>
        <w:tc>
          <w:tcPr>
            <w:tcW w:w="1575" w:type="dxa"/>
          </w:tcPr>
          <w:p w:rsidR="00952A2E" w:rsidRDefault="00952A2E"/>
        </w:tc>
        <w:tc>
          <w:tcPr>
            <w:tcW w:w="5229" w:type="dxa"/>
          </w:tcPr>
          <w:p w:rsidR="00952A2E" w:rsidRDefault="00952A2E" w:rsidP="00952A2E">
            <w:pPr>
              <w:spacing w:line="360" w:lineRule="auto"/>
              <w:jc w:val="both"/>
            </w:pPr>
            <w:r>
              <w:t xml:space="preserve">Das SK, </w:t>
            </w:r>
            <w:proofErr w:type="spellStart"/>
            <w:r>
              <w:t>ChattopadhyayS</w:t>
            </w:r>
            <w:proofErr w:type="spellEnd"/>
            <w:r>
              <w:t>. Hanging or Strangling? – A case report of suicidal hanging without knot at the neck. JIAFM. 2009; 31(4): 373-376.</w:t>
            </w:r>
          </w:p>
          <w:p w:rsidR="00952A2E" w:rsidRDefault="00952A2E" w:rsidP="00952A2E">
            <w:pPr>
              <w:spacing w:line="360" w:lineRule="auto"/>
              <w:jc w:val="both"/>
            </w:pPr>
          </w:p>
        </w:tc>
        <w:tc>
          <w:tcPr>
            <w:tcW w:w="971" w:type="dxa"/>
          </w:tcPr>
          <w:p w:rsidR="00952A2E" w:rsidRDefault="00A779B6">
            <w:r>
              <w:t>No</w:t>
            </w:r>
          </w:p>
        </w:tc>
        <w:tc>
          <w:tcPr>
            <w:tcW w:w="933" w:type="dxa"/>
          </w:tcPr>
          <w:p w:rsidR="00952A2E" w:rsidRDefault="00A779B6">
            <w:r>
              <w:t>Yes</w:t>
            </w:r>
          </w:p>
        </w:tc>
      </w:tr>
      <w:tr w:rsidR="00952A2E" w:rsidTr="00C33172">
        <w:tc>
          <w:tcPr>
            <w:tcW w:w="534" w:type="dxa"/>
          </w:tcPr>
          <w:p w:rsidR="00952A2E" w:rsidRDefault="00952A2E">
            <w:r>
              <w:t>10.</w:t>
            </w:r>
          </w:p>
        </w:tc>
        <w:tc>
          <w:tcPr>
            <w:tcW w:w="1575" w:type="dxa"/>
          </w:tcPr>
          <w:p w:rsidR="00952A2E" w:rsidRDefault="00952A2E"/>
        </w:tc>
        <w:tc>
          <w:tcPr>
            <w:tcW w:w="5229" w:type="dxa"/>
          </w:tcPr>
          <w:p w:rsidR="00952A2E" w:rsidRDefault="00952A2E" w:rsidP="00952A2E">
            <w:pPr>
              <w:spacing w:line="360" w:lineRule="auto"/>
              <w:jc w:val="both"/>
            </w:pPr>
            <w:proofErr w:type="spellStart"/>
            <w:r>
              <w:t>Sukul</w:t>
            </w:r>
            <w:proofErr w:type="spellEnd"/>
            <w:r>
              <w:t xml:space="preserve"> B, </w:t>
            </w:r>
            <w:proofErr w:type="spellStart"/>
            <w:r>
              <w:t>ChattopadhyayS</w:t>
            </w:r>
            <w:proofErr w:type="spellEnd"/>
            <w:r>
              <w:t xml:space="preserve">, Bose TK. A study of victims of natural sexual offence in the </w:t>
            </w:r>
            <w:proofErr w:type="spellStart"/>
            <w:r>
              <w:t>Bankura</w:t>
            </w:r>
            <w:proofErr w:type="spellEnd"/>
            <w:r>
              <w:t xml:space="preserve"> District of West Bengal. JIAFM. 2009; 31(1): 25-29.</w:t>
            </w:r>
          </w:p>
          <w:p w:rsidR="00952A2E" w:rsidRDefault="00952A2E" w:rsidP="00952A2E">
            <w:pPr>
              <w:spacing w:line="360" w:lineRule="auto"/>
              <w:jc w:val="both"/>
            </w:pPr>
          </w:p>
        </w:tc>
        <w:tc>
          <w:tcPr>
            <w:tcW w:w="971" w:type="dxa"/>
          </w:tcPr>
          <w:p w:rsidR="00952A2E" w:rsidRDefault="00A779B6">
            <w:r>
              <w:t>No</w:t>
            </w:r>
          </w:p>
        </w:tc>
        <w:tc>
          <w:tcPr>
            <w:tcW w:w="933" w:type="dxa"/>
          </w:tcPr>
          <w:p w:rsidR="00952A2E" w:rsidRDefault="00A779B6">
            <w:r>
              <w:t>Yes</w:t>
            </w:r>
          </w:p>
        </w:tc>
      </w:tr>
      <w:tr w:rsidR="00952A2E" w:rsidTr="00C33172">
        <w:tc>
          <w:tcPr>
            <w:tcW w:w="534" w:type="dxa"/>
          </w:tcPr>
          <w:p w:rsidR="00952A2E" w:rsidRDefault="00952A2E">
            <w:r>
              <w:t>11.</w:t>
            </w:r>
          </w:p>
        </w:tc>
        <w:tc>
          <w:tcPr>
            <w:tcW w:w="1575" w:type="dxa"/>
          </w:tcPr>
          <w:p w:rsidR="00952A2E" w:rsidRDefault="00952A2E"/>
        </w:tc>
        <w:tc>
          <w:tcPr>
            <w:tcW w:w="5229" w:type="dxa"/>
          </w:tcPr>
          <w:p w:rsidR="00952A2E" w:rsidRDefault="00952A2E" w:rsidP="00952A2E">
            <w:pPr>
              <w:spacing w:line="360" w:lineRule="auto"/>
              <w:jc w:val="both"/>
            </w:pPr>
            <w:proofErr w:type="spellStart"/>
            <w:r>
              <w:t>Chakraborty</w:t>
            </w:r>
            <w:proofErr w:type="spellEnd"/>
            <w:r>
              <w:t xml:space="preserve"> PC, </w:t>
            </w:r>
            <w:proofErr w:type="spellStart"/>
            <w:r>
              <w:t>Chattopadhyay</w:t>
            </w:r>
            <w:proofErr w:type="spellEnd"/>
            <w:r>
              <w:t xml:space="preserve"> S. Effects of common contaminants </w:t>
            </w:r>
            <w:proofErr w:type="gramStart"/>
            <w:r>
              <w:t>on  blood</w:t>
            </w:r>
            <w:proofErr w:type="gramEnd"/>
            <w:r>
              <w:t xml:space="preserve"> group factors in </w:t>
            </w:r>
            <w:proofErr w:type="spellStart"/>
            <w:r>
              <w:t>medicolegal</w:t>
            </w:r>
            <w:proofErr w:type="spellEnd"/>
            <w:r>
              <w:t xml:space="preserve"> ground. Indian Journal of Forensic Medicine and Toxicology. 2011; 5(1): 73-75.</w:t>
            </w:r>
          </w:p>
          <w:p w:rsidR="00952A2E" w:rsidRDefault="00952A2E" w:rsidP="00952A2E">
            <w:pPr>
              <w:spacing w:line="360" w:lineRule="auto"/>
              <w:jc w:val="both"/>
            </w:pPr>
          </w:p>
        </w:tc>
        <w:tc>
          <w:tcPr>
            <w:tcW w:w="971" w:type="dxa"/>
          </w:tcPr>
          <w:p w:rsidR="00952A2E" w:rsidRDefault="00A779B6">
            <w:r>
              <w:t>No</w:t>
            </w:r>
          </w:p>
        </w:tc>
        <w:tc>
          <w:tcPr>
            <w:tcW w:w="933" w:type="dxa"/>
          </w:tcPr>
          <w:p w:rsidR="00952A2E" w:rsidRDefault="00A779B6">
            <w:r>
              <w:t>Yes</w:t>
            </w:r>
          </w:p>
        </w:tc>
      </w:tr>
      <w:tr w:rsidR="00952A2E" w:rsidTr="00C33172">
        <w:tc>
          <w:tcPr>
            <w:tcW w:w="534" w:type="dxa"/>
          </w:tcPr>
          <w:p w:rsidR="00952A2E" w:rsidRDefault="00952A2E">
            <w:r>
              <w:t>12.</w:t>
            </w:r>
          </w:p>
        </w:tc>
        <w:tc>
          <w:tcPr>
            <w:tcW w:w="1575" w:type="dxa"/>
          </w:tcPr>
          <w:p w:rsidR="00952A2E" w:rsidRDefault="00952A2E"/>
        </w:tc>
        <w:tc>
          <w:tcPr>
            <w:tcW w:w="5229" w:type="dxa"/>
          </w:tcPr>
          <w:p w:rsidR="004E2AF2" w:rsidRDefault="004E2AF2" w:rsidP="004E2AF2">
            <w:pPr>
              <w:spacing w:line="360" w:lineRule="auto"/>
              <w:jc w:val="both"/>
            </w:pPr>
            <w:proofErr w:type="spellStart"/>
            <w:r>
              <w:t>Chattopadhyay</w:t>
            </w:r>
            <w:proofErr w:type="spellEnd"/>
            <w:r>
              <w:t xml:space="preserve"> S, </w:t>
            </w:r>
            <w:proofErr w:type="spellStart"/>
            <w:r>
              <w:t>Sukul</w:t>
            </w:r>
            <w:proofErr w:type="spellEnd"/>
            <w:r>
              <w:t xml:space="preserve"> B. A profile of fatal snake bite cases in </w:t>
            </w:r>
            <w:proofErr w:type="spellStart"/>
            <w:r>
              <w:t>Bankura</w:t>
            </w:r>
            <w:proofErr w:type="spellEnd"/>
            <w:r>
              <w:t xml:space="preserve"> district of West Bengal. Journal of Forensic and Legal Medicine.</w:t>
            </w:r>
          </w:p>
          <w:p w:rsidR="00952A2E" w:rsidRDefault="00952A2E" w:rsidP="00952A2E">
            <w:pPr>
              <w:spacing w:line="360" w:lineRule="auto"/>
              <w:jc w:val="both"/>
            </w:pPr>
          </w:p>
        </w:tc>
        <w:tc>
          <w:tcPr>
            <w:tcW w:w="971" w:type="dxa"/>
          </w:tcPr>
          <w:p w:rsidR="00952A2E" w:rsidRDefault="00A779B6">
            <w:r>
              <w:t>Yes</w:t>
            </w:r>
          </w:p>
        </w:tc>
        <w:tc>
          <w:tcPr>
            <w:tcW w:w="933" w:type="dxa"/>
          </w:tcPr>
          <w:p w:rsidR="00952A2E" w:rsidRDefault="009E6879">
            <w:r>
              <w:t>Yes</w:t>
            </w:r>
          </w:p>
        </w:tc>
      </w:tr>
      <w:tr w:rsidR="00952A2E" w:rsidTr="00C33172">
        <w:tc>
          <w:tcPr>
            <w:tcW w:w="534" w:type="dxa"/>
          </w:tcPr>
          <w:p w:rsidR="00952A2E" w:rsidRDefault="004E2AF2">
            <w:r>
              <w:t>13.</w:t>
            </w:r>
          </w:p>
        </w:tc>
        <w:tc>
          <w:tcPr>
            <w:tcW w:w="1575" w:type="dxa"/>
          </w:tcPr>
          <w:p w:rsidR="00952A2E" w:rsidRDefault="00952A2E"/>
        </w:tc>
        <w:tc>
          <w:tcPr>
            <w:tcW w:w="5229" w:type="dxa"/>
          </w:tcPr>
          <w:p w:rsidR="004E2AF2" w:rsidRDefault="004E2AF2" w:rsidP="004E2AF2">
            <w:pPr>
              <w:spacing w:line="360" w:lineRule="auto"/>
              <w:jc w:val="both"/>
            </w:pPr>
            <w:proofErr w:type="spellStart"/>
            <w:r>
              <w:t>Chattopadhyay</w:t>
            </w:r>
            <w:proofErr w:type="spellEnd"/>
            <w:r>
              <w:t xml:space="preserve"> S, </w:t>
            </w:r>
            <w:proofErr w:type="spellStart"/>
            <w:r>
              <w:t>Sukul</w:t>
            </w:r>
            <w:proofErr w:type="spellEnd"/>
            <w:r>
              <w:t xml:space="preserve"> B. Identification from dorsal finger pattern – A </w:t>
            </w:r>
            <w:proofErr w:type="gramStart"/>
            <w:r>
              <w:t>new  approach</w:t>
            </w:r>
            <w:proofErr w:type="gramEnd"/>
            <w:r>
              <w:t xml:space="preserve">. Med </w:t>
            </w:r>
            <w:proofErr w:type="spellStart"/>
            <w:r>
              <w:t>Sci</w:t>
            </w:r>
            <w:proofErr w:type="spellEnd"/>
            <w:r>
              <w:t xml:space="preserve"> Law. 2012; 52: 17-21.</w:t>
            </w:r>
          </w:p>
          <w:p w:rsidR="00952A2E" w:rsidRDefault="00952A2E" w:rsidP="00952A2E">
            <w:pPr>
              <w:spacing w:line="360" w:lineRule="auto"/>
              <w:ind w:firstLine="720"/>
              <w:jc w:val="both"/>
            </w:pPr>
          </w:p>
        </w:tc>
        <w:tc>
          <w:tcPr>
            <w:tcW w:w="971" w:type="dxa"/>
          </w:tcPr>
          <w:p w:rsidR="00952A2E" w:rsidRDefault="00A779B6">
            <w:r>
              <w:t>Yes</w:t>
            </w:r>
          </w:p>
        </w:tc>
        <w:tc>
          <w:tcPr>
            <w:tcW w:w="933" w:type="dxa"/>
          </w:tcPr>
          <w:p w:rsidR="00952A2E" w:rsidRDefault="00952A2E"/>
        </w:tc>
      </w:tr>
      <w:tr w:rsidR="00952A2E" w:rsidTr="00C33172">
        <w:tc>
          <w:tcPr>
            <w:tcW w:w="534" w:type="dxa"/>
          </w:tcPr>
          <w:p w:rsidR="00952A2E" w:rsidRDefault="004E2AF2">
            <w:r>
              <w:t>14.</w:t>
            </w:r>
          </w:p>
        </w:tc>
        <w:tc>
          <w:tcPr>
            <w:tcW w:w="1575" w:type="dxa"/>
          </w:tcPr>
          <w:p w:rsidR="00952A2E" w:rsidRDefault="00952A2E"/>
        </w:tc>
        <w:tc>
          <w:tcPr>
            <w:tcW w:w="5229" w:type="dxa"/>
          </w:tcPr>
          <w:p w:rsidR="004E2AF2" w:rsidRDefault="004E2AF2" w:rsidP="004E2AF2">
            <w:pPr>
              <w:spacing w:line="360" w:lineRule="auto"/>
              <w:jc w:val="both"/>
            </w:pPr>
            <w:r>
              <w:t xml:space="preserve">Das SK, </w:t>
            </w:r>
            <w:proofErr w:type="spellStart"/>
            <w:r>
              <w:t>Chattopadhyay</w:t>
            </w:r>
            <w:proofErr w:type="spellEnd"/>
            <w:r>
              <w:t xml:space="preserve"> S. Human fatalities from wild elephant attacks – A study of fourteen cases. Journal of Forensic and Legal Medicine.</w:t>
            </w:r>
          </w:p>
          <w:p w:rsidR="00952A2E" w:rsidRDefault="00952A2E" w:rsidP="00952A2E">
            <w:pPr>
              <w:spacing w:line="360" w:lineRule="auto"/>
              <w:ind w:firstLine="720"/>
              <w:jc w:val="both"/>
            </w:pPr>
          </w:p>
        </w:tc>
        <w:tc>
          <w:tcPr>
            <w:tcW w:w="971" w:type="dxa"/>
          </w:tcPr>
          <w:p w:rsidR="00952A2E" w:rsidRDefault="00A779B6">
            <w:r>
              <w:t>Yes</w:t>
            </w:r>
          </w:p>
        </w:tc>
        <w:tc>
          <w:tcPr>
            <w:tcW w:w="933" w:type="dxa"/>
          </w:tcPr>
          <w:p w:rsidR="00952A2E" w:rsidRDefault="009E6879">
            <w:r>
              <w:t>Yes</w:t>
            </w:r>
          </w:p>
        </w:tc>
      </w:tr>
      <w:tr w:rsidR="00952A2E" w:rsidTr="00C33172">
        <w:tc>
          <w:tcPr>
            <w:tcW w:w="534" w:type="dxa"/>
          </w:tcPr>
          <w:p w:rsidR="00952A2E" w:rsidRDefault="004E2AF2">
            <w:r>
              <w:t>15.</w:t>
            </w:r>
          </w:p>
        </w:tc>
        <w:tc>
          <w:tcPr>
            <w:tcW w:w="1575" w:type="dxa"/>
          </w:tcPr>
          <w:p w:rsidR="00952A2E" w:rsidRDefault="00952A2E"/>
        </w:tc>
        <w:tc>
          <w:tcPr>
            <w:tcW w:w="5229" w:type="dxa"/>
          </w:tcPr>
          <w:p w:rsidR="004E2AF2" w:rsidRDefault="004E2AF2" w:rsidP="004E2AF2">
            <w:pPr>
              <w:spacing w:line="360" w:lineRule="auto"/>
              <w:jc w:val="both"/>
            </w:pPr>
            <w:proofErr w:type="spellStart"/>
            <w:r>
              <w:t>Chattopadhyay</w:t>
            </w:r>
            <w:proofErr w:type="spellEnd"/>
            <w:r>
              <w:t xml:space="preserve"> S, </w:t>
            </w:r>
            <w:proofErr w:type="spellStart"/>
            <w:r>
              <w:t>Shee</w:t>
            </w:r>
            <w:proofErr w:type="spellEnd"/>
            <w:r>
              <w:t xml:space="preserve"> B, </w:t>
            </w:r>
            <w:proofErr w:type="spellStart"/>
            <w:r>
              <w:t>Batabyal</w:t>
            </w:r>
            <w:proofErr w:type="spellEnd"/>
            <w:r>
              <w:t xml:space="preserve"> S. An Autopsy Study of </w:t>
            </w:r>
            <w:proofErr w:type="gramStart"/>
            <w:r>
              <w:t>Paediatric  Fatalities</w:t>
            </w:r>
            <w:proofErr w:type="gramEnd"/>
            <w:r>
              <w:t xml:space="preserve"> in Central Kolkata. Medico-Legal Update. 2013; 13(1): 122-125</w:t>
            </w:r>
          </w:p>
          <w:p w:rsidR="00952A2E" w:rsidRDefault="00952A2E" w:rsidP="00952A2E">
            <w:pPr>
              <w:spacing w:line="360" w:lineRule="auto"/>
              <w:ind w:firstLine="720"/>
              <w:jc w:val="both"/>
            </w:pPr>
          </w:p>
        </w:tc>
        <w:tc>
          <w:tcPr>
            <w:tcW w:w="971" w:type="dxa"/>
          </w:tcPr>
          <w:p w:rsidR="00952A2E" w:rsidRDefault="00115BB2">
            <w:r>
              <w:t>No</w:t>
            </w:r>
          </w:p>
        </w:tc>
        <w:tc>
          <w:tcPr>
            <w:tcW w:w="933" w:type="dxa"/>
          </w:tcPr>
          <w:p w:rsidR="00952A2E" w:rsidRDefault="00115BB2">
            <w:r>
              <w:t>No</w:t>
            </w:r>
          </w:p>
        </w:tc>
      </w:tr>
      <w:tr w:rsidR="00952A2E" w:rsidTr="00C33172">
        <w:tc>
          <w:tcPr>
            <w:tcW w:w="534" w:type="dxa"/>
          </w:tcPr>
          <w:p w:rsidR="00952A2E" w:rsidRDefault="004E2AF2">
            <w:r>
              <w:t>16.</w:t>
            </w:r>
          </w:p>
        </w:tc>
        <w:tc>
          <w:tcPr>
            <w:tcW w:w="1575" w:type="dxa"/>
          </w:tcPr>
          <w:p w:rsidR="00952A2E" w:rsidRDefault="00952A2E"/>
        </w:tc>
        <w:tc>
          <w:tcPr>
            <w:tcW w:w="5229" w:type="dxa"/>
          </w:tcPr>
          <w:p w:rsidR="004E2AF2" w:rsidRDefault="004E2AF2" w:rsidP="004E2AF2">
            <w:pPr>
              <w:spacing w:line="360" w:lineRule="auto"/>
              <w:jc w:val="both"/>
            </w:pPr>
            <w:proofErr w:type="spellStart"/>
            <w:r>
              <w:t>Chattopadyay</w:t>
            </w:r>
            <w:proofErr w:type="spellEnd"/>
            <w:r>
              <w:t xml:space="preserve"> S, </w:t>
            </w:r>
            <w:proofErr w:type="spellStart"/>
            <w:r>
              <w:t>Sukul</w:t>
            </w:r>
            <w:proofErr w:type="spellEnd"/>
            <w:r>
              <w:t xml:space="preserve"> B. Pattern of defence injuries among homicidal victims. Egyptian journal of Forensic Sciences. 2013; 3: 81-84.</w:t>
            </w:r>
          </w:p>
          <w:p w:rsidR="00952A2E" w:rsidRDefault="00952A2E" w:rsidP="00952A2E">
            <w:pPr>
              <w:spacing w:line="360" w:lineRule="auto"/>
              <w:ind w:firstLine="720"/>
              <w:jc w:val="both"/>
            </w:pPr>
          </w:p>
        </w:tc>
        <w:tc>
          <w:tcPr>
            <w:tcW w:w="971" w:type="dxa"/>
          </w:tcPr>
          <w:p w:rsidR="00952A2E" w:rsidRDefault="00A779B6">
            <w:r>
              <w:t>No</w:t>
            </w:r>
          </w:p>
        </w:tc>
        <w:tc>
          <w:tcPr>
            <w:tcW w:w="933" w:type="dxa"/>
          </w:tcPr>
          <w:p w:rsidR="00952A2E" w:rsidRDefault="00A779B6">
            <w:r>
              <w:t>Yes</w:t>
            </w:r>
          </w:p>
        </w:tc>
      </w:tr>
      <w:tr w:rsidR="00952A2E" w:rsidTr="00C33172">
        <w:tc>
          <w:tcPr>
            <w:tcW w:w="534" w:type="dxa"/>
          </w:tcPr>
          <w:p w:rsidR="00952A2E" w:rsidRDefault="004E2AF2">
            <w:r>
              <w:lastRenderedPageBreak/>
              <w:t>17.</w:t>
            </w:r>
          </w:p>
        </w:tc>
        <w:tc>
          <w:tcPr>
            <w:tcW w:w="1575" w:type="dxa"/>
          </w:tcPr>
          <w:p w:rsidR="00952A2E" w:rsidRDefault="00952A2E"/>
        </w:tc>
        <w:tc>
          <w:tcPr>
            <w:tcW w:w="5229" w:type="dxa"/>
          </w:tcPr>
          <w:p w:rsidR="004E2AF2" w:rsidRDefault="004E2AF2" w:rsidP="004E2AF2">
            <w:pPr>
              <w:spacing w:line="360" w:lineRule="auto"/>
              <w:jc w:val="both"/>
            </w:pPr>
            <w:proofErr w:type="spellStart"/>
            <w:r>
              <w:t>Chattopadhyay</w:t>
            </w:r>
            <w:proofErr w:type="spellEnd"/>
            <w:r>
              <w:t xml:space="preserve"> S, </w:t>
            </w:r>
            <w:proofErr w:type="spellStart"/>
            <w:r>
              <w:t>Shee</w:t>
            </w:r>
            <w:proofErr w:type="spellEnd"/>
            <w:r>
              <w:t xml:space="preserve"> B, </w:t>
            </w:r>
            <w:proofErr w:type="spellStart"/>
            <w:r>
              <w:t>Sukul</w:t>
            </w:r>
            <w:proofErr w:type="spellEnd"/>
            <w:r>
              <w:t xml:space="preserve"> B. Unidentified bodies in autopsy – A disaster in disguise. Egyptian Journal of Forensic Sciences 2013</w:t>
            </w:r>
            <w:proofErr w:type="gramStart"/>
            <w:r>
              <w:t>;3</w:t>
            </w:r>
            <w:proofErr w:type="gramEnd"/>
            <w:r>
              <w:t>: 112-115.</w:t>
            </w:r>
          </w:p>
          <w:p w:rsidR="00952A2E" w:rsidRDefault="00952A2E" w:rsidP="00952A2E">
            <w:pPr>
              <w:spacing w:line="360" w:lineRule="auto"/>
              <w:ind w:firstLine="720"/>
              <w:jc w:val="both"/>
            </w:pPr>
          </w:p>
        </w:tc>
        <w:tc>
          <w:tcPr>
            <w:tcW w:w="971" w:type="dxa"/>
          </w:tcPr>
          <w:p w:rsidR="00952A2E" w:rsidRDefault="00A779B6">
            <w:r>
              <w:t>No</w:t>
            </w:r>
          </w:p>
        </w:tc>
        <w:tc>
          <w:tcPr>
            <w:tcW w:w="933" w:type="dxa"/>
          </w:tcPr>
          <w:p w:rsidR="00952A2E" w:rsidRDefault="00A779B6">
            <w:r>
              <w:t>Yes</w:t>
            </w:r>
          </w:p>
        </w:tc>
      </w:tr>
      <w:tr w:rsidR="00952A2E" w:rsidTr="00C33172">
        <w:tc>
          <w:tcPr>
            <w:tcW w:w="534" w:type="dxa"/>
          </w:tcPr>
          <w:p w:rsidR="00952A2E" w:rsidRDefault="004E2AF2">
            <w:r>
              <w:t>18.</w:t>
            </w:r>
          </w:p>
        </w:tc>
        <w:tc>
          <w:tcPr>
            <w:tcW w:w="1575" w:type="dxa"/>
          </w:tcPr>
          <w:p w:rsidR="00952A2E" w:rsidRDefault="00952A2E"/>
        </w:tc>
        <w:tc>
          <w:tcPr>
            <w:tcW w:w="5229" w:type="dxa"/>
          </w:tcPr>
          <w:p w:rsidR="004E2AF2" w:rsidRDefault="004E2AF2" w:rsidP="004E2AF2">
            <w:pPr>
              <w:spacing w:line="360" w:lineRule="auto"/>
              <w:jc w:val="both"/>
            </w:pPr>
            <w:proofErr w:type="spellStart"/>
            <w:r>
              <w:t>Shee</w:t>
            </w:r>
            <w:proofErr w:type="spellEnd"/>
            <w:r>
              <w:t xml:space="preserve"> B, </w:t>
            </w:r>
            <w:proofErr w:type="spellStart"/>
            <w:r>
              <w:t>Chattopadhyay</w:t>
            </w:r>
            <w:proofErr w:type="spellEnd"/>
            <w:r>
              <w:t xml:space="preserve"> S. </w:t>
            </w:r>
            <w:proofErr w:type="spellStart"/>
            <w:r>
              <w:t>Adhya</w:t>
            </w:r>
            <w:proofErr w:type="spellEnd"/>
            <w:r>
              <w:t xml:space="preserve"> </w:t>
            </w:r>
            <w:proofErr w:type="spellStart"/>
            <w:r>
              <w:t>Souvanik</w:t>
            </w:r>
            <w:proofErr w:type="spellEnd"/>
            <w:r>
              <w:t>. Autopsy in an embalmed corpse: A case report. Journal of Indian Academy of Forensic Medicine. 2015; 37(4); 433-434.</w:t>
            </w:r>
          </w:p>
          <w:p w:rsidR="00952A2E" w:rsidRDefault="00952A2E" w:rsidP="00952A2E">
            <w:pPr>
              <w:spacing w:line="360" w:lineRule="auto"/>
              <w:ind w:firstLine="720"/>
              <w:jc w:val="both"/>
            </w:pPr>
          </w:p>
        </w:tc>
        <w:tc>
          <w:tcPr>
            <w:tcW w:w="971" w:type="dxa"/>
          </w:tcPr>
          <w:p w:rsidR="00952A2E" w:rsidRDefault="00A779B6">
            <w:r>
              <w:t>No</w:t>
            </w:r>
          </w:p>
        </w:tc>
        <w:tc>
          <w:tcPr>
            <w:tcW w:w="933" w:type="dxa"/>
          </w:tcPr>
          <w:p w:rsidR="00952A2E" w:rsidRDefault="00A779B6">
            <w:r>
              <w:t>Yes</w:t>
            </w:r>
          </w:p>
        </w:tc>
      </w:tr>
      <w:tr w:rsidR="00952A2E" w:rsidTr="00C33172">
        <w:tc>
          <w:tcPr>
            <w:tcW w:w="534" w:type="dxa"/>
          </w:tcPr>
          <w:p w:rsidR="00952A2E" w:rsidRDefault="004E2AF2">
            <w:r>
              <w:t>19.</w:t>
            </w:r>
          </w:p>
        </w:tc>
        <w:tc>
          <w:tcPr>
            <w:tcW w:w="1575" w:type="dxa"/>
          </w:tcPr>
          <w:p w:rsidR="00952A2E" w:rsidRDefault="00952A2E"/>
        </w:tc>
        <w:tc>
          <w:tcPr>
            <w:tcW w:w="5229" w:type="dxa"/>
          </w:tcPr>
          <w:p w:rsidR="004E2AF2" w:rsidRDefault="004E2AF2" w:rsidP="004E2AF2">
            <w:pPr>
              <w:spacing w:line="360" w:lineRule="auto"/>
              <w:jc w:val="both"/>
            </w:pPr>
            <w:proofErr w:type="spellStart"/>
            <w:r>
              <w:t>Chattopadhyay</w:t>
            </w:r>
            <w:proofErr w:type="spellEnd"/>
            <w:r>
              <w:t xml:space="preserve"> S, </w:t>
            </w:r>
            <w:proofErr w:type="spellStart"/>
            <w:r>
              <w:t>Sukul</w:t>
            </w:r>
            <w:proofErr w:type="spellEnd"/>
            <w:r>
              <w:t xml:space="preserve"> B, </w:t>
            </w:r>
            <w:proofErr w:type="spellStart"/>
            <w:r>
              <w:t>Shee</w:t>
            </w:r>
            <w:proofErr w:type="spellEnd"/>
            <w:r>
              <w:t xml:space="preserve"> B. Fatal Crocodile attack.  Journal of Forensic and Legal Medicine. 2013; 20(3): 1139-1141.</w:t>
            </w:r>
          </w:p>
          <w:p w:rsidR="00952A2E" w:rsidRDefault="00952A2E" w:rsidP="00952A2E">
            <w:pPr>
              <w:spacing w:line="360" w:lineRule="auto"/>
              <w:ind w:firstLine="720"/>
              <w:jc w:val="both"/>
            </w:pPr>
          </w:p>
        </w:tc>
        <w:tc>
          <w:tcPr>
            <w:tcW w:w="971" w:type="dxa"/>
          </w:tcPr>
          <w:p w:rsidR="00952A2E" w:rsidRDefault="00A779B6">
            <w:r>
              <w:t>Yes</w:t>
            </w:r>
          </w:p>
        </w:tc>
        <w:tc>
          <w:tcPr>
            <w:tcW w:w="933" w:type="dxa"/>
          </w:tcPr>
          <w:p w:rsidR="00952A2E" w:rsidRDefault="009E6879">
            <w:r>
              <w:t>Yes</w:t>
            </w:r>
          </w:p>
        </w:tc>
      </w:tr>
      <w:tr w:rsidR="00952A2E" w:rsidTr="00C33172">
        <w:tc>
          <w:tcPr>
            <w:tcW w:w="534" w:type="dxa"/>
          </w:tcPr>
          <w:p w:rsidR="00952A2E" w:rsidRDefault="002939BE">
            <w:r>
              <w:t>20.</w:t>
            </w:r>
          </w:p>
        </w:tc>
        <w:tc>
          <w:tcPr>
            <w:tcW w:w="1575" w:type="dxa"/>
          </w:tcPr>
          <w:p w:rsidR="00952A2E" w:rsidRDefault="00952A2E"/>
        </w:tc>
        <w:tc>
          <w:tcPr>
            <w:tcW w:w="5229" w:type="dxa"/>
          </w:tcPr>
          <w:p w:rsidR="00952A2E" w:rsidRDefault="002939BE" w:rsidP="002939BE">
            <w:pPr>
              <w:spacing w:line="360" w:lineRule="auto"/>
              <w:jc w:val="both"/>
            </w:pPr>
            <w:proofErr w:type="spellStart"/>
            <w:r>
              <w:t>Chattopadhyay</w:t>
            </w:r>
            <w:proofErr w:type="spellEnd"/>
            <w:r>
              <w:t xml:space="preserve"> S, </w:t>
            </w:r>
            <w:proofErr w:type="spellStart"/>
            <w:r>
              <w:t>Mazumder</w:t>
            </w:r>
            <w:proofErr w:type="spellEnd"/>
            <w:r>
              <w:t xml:space="preserve"> </w:t>
            </w:r>
            <w:r w:rsidR="001C1D96">
              <w:t xml:space="preserve">A, </w:t>
            </w:r>
            <w:proofErr w:type="spellStart"/>
            <w:r w:rsidR="001C1D96">
              <w:t>Gangopadhyay</w:t>
            </w:r>
            <w:proofErr w:type="spellEnd"/>
            <w:r w:rsidR="001C1D96">
              <w:t xml:space="preserve"> R. Is the manner</w:t>
            </w:r>
            <w:r>
              <w:t xml:space="preserve"> of suicide predetermined? – Gastric contents can reveal the truth.</w:t>
            </w:r>
            <w:r w:rsidR="001C1D96">
              <w:t xml:space="preserve"> International Journal of Ethics Trauma and </w:t>
            </w:r>
            <w:proofErr w:type="spellStart"/>
            <w:r w:rsidR="001C1D96">
              <w:t>Victimology</w:t>
            </w:r>
            <w:proofErr w:type="spellEnd"/>
            <w:r w:rsidR="001C1D96">
              <w:t>. 2016; 2(02):</w:t>
            </w:r>
          </w:p>
        </w:tc>
        <w:tc>
          <w:tcPr>
            <w:tcW w:w="971" w:type="dxa"/>
          </w:tcPr>
          <w:p w:rsidR="00952A2E" w:rsidRDefault="00A779B6">
            <w:r>
              <w:t>No</w:t>
            </w:r>
          </w:p>
        </w:tc>
        <w:tc>
          <w:tcPr>
            <w:tcW w:w="933" w:type="dxa"/>
          </w:tcPr>
          <w:p w:rsidR="00952A2E" w:rsidRDefault="00B5315F">
            <w:r>
              <w:t>No</w:t>
            </w:r>
          </w:p>
          <w:p w:rsidR="00186DA5" w:rsidRDefault="00186DA5"/>
          <w:p w:rsidR="00186DA5" w:rsidRDefault="00186DA5"/>
          <w:p w:rsidR="00186DA5" w:rsidRDefault="00186DA5"/>
          <w:p w:rsidR="00186DA5" w:rsidRDefault="00186DA5"/>
          <w:p w:rsidR="00186DA5" w:rsidRDefault="00186DA5"/>
        </w:tc>
      </w:tr>
      <w:tr w:rsidR="00186DA5" w:rsidTr="00C33172">
        <w:tc>
          <w:tcPr>
            <w:tcW w:w="534" w:type="dxa"/>
          </w:tcPr>
          <w:p w:rsidR="00186DA5" w:rsidRDefault="00186DA5">
            <w:r>
              <w:t>21</w:t>
            </w:r>
          </w:p>
        </w:tc>
        <w:tc>
          <w:tcPr>
            <w:tcW w:w="1575" w:type="dxa"/>
          </w:tcPr>
          <w:p w:rsidR="00186DA5" w:rsidRDefault="00186DA5"/>
        </w:tc>
        <w:tc>
          <w:tcPr>
            <w:tcW w:w="5229" w:type="dxa"/>
          </w:tcPr>
          <w:p w:rsidR="00186DA5" w:rsidRDefault="00186DA5" w:rsidP="002939BE">
            <w:pPr>
              <w:spacing w:line="360" w:lineRule="auto"/>
              <w:jc w:val="both"/>
            </w:pPr>
            <w:proofErr w:type="spellStart"/>
            <w:r>
              <w:t>Chattopadhyay</w:t>
            </w:r>
            <w:proofErr w:type="spellEnd"/>
            <w:r>
              <w:t xml:space="preserve"> S, Roy A K, </w:t>
            </w:r>
            <w:proofErr w:type="spellStart"/>
            <w:proofErr w:type="gramStart"/>
            <w:r>
              <w:t>Saha</w:t>
            </w:r>
            <w:proofErr w:type="spellEnd"/>
            <w:proofErr w:type="gramEnd"/>
            <w:r>
              <w:t xml:space="preserve"> D. Assessment of </w:t>
            </w:r>
            <w:proofErr w:type="spellStart"/>
            <w:r>
              <w:t>histopathological</w:t>
            </w:r>
            <w:proofErr w:type="spellEnd"/>
            <w:r>
              <w:t xml:space="preserve"> changes in the thyroid gland of fatal burn patients: A cross sectional study. Burns Open. 2022</w:t>
            </w:r>
            <w:proofErr w:type="gramStart"/>
            <w:r>
              <w:t>;6</w:t>
            </w:r>
            <w:proofErr w:type="gramEnd"/>
            <w:r>
              <w:t>(4):164-167.</w:t>
            </w:r>
          </w:p>
        </w:tc>
        <w:tc>
          <w:tcPr>
            <w:tcW w:w="971" w:type="dxa"/>
          </w:tcPr>
          <w:p w:rsidR="00186DA5" w:rsidRDefault="00186DA5"/>
        </w:tc>
        <w:tc>
          <w:tcPr>
            <w:tcW w:w="933" w:type="dxa"/>
          </w:tcPr>
          <w:p w:rsidR="00186DA5" w:rsidRDefault="00186DA5"/>
          <w:p w:rsidR="00186DA5" w:rsidRDefault="00186DA5"/>
          <w:p w:rsidR="00186DA5" w:rsidRDefault="00186DA5"/>
          <w:p w:rsidR="00186DA5" w:rsidRDefault="00186DA5"/>
          <w:p w:rsidR="00186DA5" w:rsidRDefault="00186DA5"/>
          <w:p w:rsidR="00186DA5" w:rsidRDefault="00186DA5"/>
        </w:tc>
      </w:tr>
      <w:tr w:rsidR="00186DA5" w:rsidTr="00C33172">
        <w:tc>
          <w:tcPr>
            <w:tcW w:w="534" w:type="dxa"/>
          </w:tcPr>
          <w:p w:rsidR="00186DA5" w:rsidRDefault="00186DA5">
            <w:r>
              <w:t>22</w:t>
            </w:r>
          </w:p>
        </w:tc>
        <w:tc>
          <w:tcPr>
            <w:tcW w:w="1575" w:type="dxa"/>
          </w:tcPr>
          <w:p w:rsidR="00186DA5" w:rsidRDefault="00186DA5"/>
        </w:tc>
        <w:tc>
          <w:tcPr>
            <w:tcW w:w="5229" w:type="dxa"/>
          </w:tcPr>
          <w:p w:rsidR="00186DA5" w:rsidRDefault="00186DA5" w:rsidP="002939BE">
            <w:pPr>
              <w:spacing w:line="360" w:lineRule="auto"/>
              <w:jc w:val="both"/>
            </w:pPr>
            <w:proofErr w:type="spellStart"/>
            <w:r>
              <w:t>Saha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proofErr w:type="gramStart"/>
            <w:r>
              <w:t>,Chattopadhyay</w:t>
            </w:r>
            <w:proofErr w:type="spellEnd"/>
            <w:proofErr w:type="gramEnd"/>
            <w:r>
              <w:t xml:space="preserve"> S, </w:t>
            </w:r>
            <w:proofErr w:type="spellStart"/>
            <w:r>
              <w:t>Dutta</w:t>
            </w:r>
            <w:proofErr w:type="spellEnd"/>
            <w:r>
              <w:t xml:space="preserve"> SS, Roy AK. Critically ill patients: </w:t>
            </w:r>
            <w:proofErr w:type="spellStart"/>
            <w:r>
              <w:t>Histopathological</w:t>
            </w:r>
            <w:proofErr w:type="spellEnd"/>
            <w:r>
              <w:t xml:space="preserve"> evidence of thyroid dysfunction. J </w:t>
            </w:r>
            <w:proofErr w:type="spellStart"/>
            <w:r>
              <w:t>Crit</w:t>
            </w:r>
            <w:proofErr w:type="spellEnd"/>
            <w:r>
              <w:t xml:space="preserve"> Care. 2023; 78:</w:t>
            </w:r>
          </w:p>
        </w:tc>
        <w:tc>
          <w:tcPr>
            <w:tcW w:w="971" w:type="dxa"/>
          </w:tcPr>
          <w:p w:rsidR="00186DA5" w:rsidRDefault="00BD5F18">
            <w:r>
              <w:t>Yes</w:t>
            </w:r>
          </w:p>
        </w:tc>
        <w:tc>
          <w:tcPr>
            <w:tcW w:w="933" w:type="dxa"/>
          </w:tcPr>
          <w:p w:rsidR="00186DA5" w:rsidRDefault="00186DA5"/>
          <w:p w:rsidR="00186DA5" w:rsidRDefault="00186DA5"/>
          <w:p w:rsidR="00186DA5" w:rsidRDefault="00186DA5"/>
          <w:p w:rsidR="00186DA5" w:rsidRDefault="00186DA5"/>
          <w:p w:rsidR="00186DA5" w:rsidRDefault="00186DA5"/>
        </w:tc>
      </w:tr>
      <w:tr w:rsidR="00186DA5" w:rsidTr="00C33172">
        <w:tc>
          <w:tcPr>
            <w:tcW w:w="534" w:type="dxa"/>
          </w:tcPr>
          <w:p w:rsidR="00186DA5" w:rsidRDefault="00186DA5">
            <w:r>
              <w:t>23</w:t>
            </w:r>
          </w:p>
        </w:tc>
        <w:tc>
          <w:tcPr>
            <w:tcW w:w="1575" w:type="dxa"/>
          </w:tcPr>
          <w:p w:rsidR="00186DA5" w:rsidRDefault="00186DA5"/>
        </w:tc>
        <w:tc>
          <w:tcPr>
            <w:tcW w:w="5229" w:type="dxa"/>
          </w:tcPr>
          <w:p w:rsidR="00186DA5" w:rsidRDefault="00186DA5" w:rsidP="00186DA5">
            <w:pPr>
              <w:spacing w:line="360" w:lineRule="auto"/>
              <w:jc w:val="both"/>
            </w:pPr>
            <w:proofErr w:type="spellStart"/>
            <w:r>
              <w:t>Bala</w:t>
            </w:r>
            <w:proofErr w:type="spellEnd"/>
            <w:r>
              <w:t xml:space="preserve"> M, </w:t>
            </w:r>
            <w:proofErr w:type="spellStart"/>
            <w:r>
              <w:t>Dutta</w:t>
            </w:r>
            <w:proofErr w:type="spellEnd"/>
            <w:r>
              <w:t xml:space="preserve"> SS, Roy AK, </w:t>
            </w:r>
            <w:proofErr w:type="spellStart"/>
            <w:r>
              <w:t>Chattopadhyay</w:t>
            </w:r>
            <w:proofErr w:type="spellEnd"/>
            <w:r>
              <w:t xml:space="preserve"> S, </w:t>
            </w:r>
            <w:proofErr w:type="spellStart"/>
            <w:r>
              <w:t>Chunakar</w:t>
            </w:r>
            <w:proofErr w:type="spellEnd"/>
            <w:r>
              <w:t xml:space="preserve"> A. Gross and </w:t>
            </w:r>
            <w:proofErr w:type="spellStart"/>
            <w:r>
              <w:t>Histopathological</w:t>
            </w:r>
            <w:proofErr w:type="spellEnd"/>
            <w:r>
              <w:t xml:space="preserve"> changes in Gastrointestinal tract in cases of Acute </w:t>
            </w:r>
            <w:proofErr w:type="spellStart"/>
            <w:r>
              <w:t>Transoral</w:t>
            </w:r>
            <w:proofErr w:type="spellEnd"/>
            <w:r>
              <w:t xml:space="preserve"> </w:t>
            </w:r>
            <w:proofErr w:type="spellStart"/>
            <w:r>
              <w:t>Paraquat</w:t>
            </w:r>
            <w:proofErr w:type="spellEnd"/>
            <w:r>
              <w:t xml:space="preserve"> Poisoning</w:t>
            </w:r>
            <w:r w:rsidR="003E2ECC">
              <w:t>. Journal of Forensic Science and Medicine. 2023</w:t>
            </w:r>
            <w:proofErr w:type="gramStart"/>
            <w:r w:rsidR="003E2ECC">
              <w:t>;9</w:t>
            </w:r>
            <w:proofErr w:type="gramEnd"/>
            <w:r w:rsidR="003E2ECC">
              <w:t>(3): 207-214.</w:t>
            </w:r>
          </w:p>
        </w:tc>
        <w:tc>
          <w:tcPr>
            <w:tcW w:w="971" w:type="dxa"/>
          </w:tcPr>
          <w:p w:rsidR="00186DA5" w:rsidRDefault="00186DA5"/>
        </w:tc>
        <w:tc>
          <w:tcPr>
            <w:tcW w:w="933" w:type="dxa"/>
          </w:tcPr>
          <w:p w:rsidR="00186DA5" w:rsidRDefault="00186DA5"/>
          <w:p w:rsidR="00044D23" w:rsidRDefault="00044D23"/>
          <w:p w:rsidR="00044D23" w:rsidRDefault="00044D23"/>
          <w:p w:rsidR="00044D23" w:rsidRDefault="00044D23"/>
          <w:p w:rsidR="00044D23" w:rsidRDefault="00044D23"/>
          <w:p w:rsidR="00044D23" w:rsidRDefault="00044D23"/>
          <w:p w:rsidR="00044D23" w:rsidRDefault="00044D23"/>
        </w:tc>
      </w:tr>
      <w:tr w:rsidR="00044D23" w:rsidTr="00C33172">
        <w:tc>
          <w:tcPr>
            <w:tcW w:w="534" w:type="dxa"/>
          </w:tcPr>
          <w:p w:rsidR="00044D23" w:rsidRDefault="00044D23">
            <w:r>
              <w:t>24</w:t>
            </w:r>
          </w:p>
        </w:tc>
        <w:tc>
          <w:tcPr>
            <w:tcW w:w="1575" w:type="dxa"/>
          </w:tcPr>
          <w:p w:rsidR="00044D23" w:rsidRDefault="00044D23"/>
        </w:tc>
        <w:tc>
          <w:tcPr>
            <w:tcW w:w="5229" w:type="dxa"/>
          </w:tcPr>
          <w:p w:rsidR="00044D23" w:rsidRDefault="00044D23" w:rsidP="00186DA5">
            <w:pPr>
              <w:spacing w:line="360" w:lineRule="auto"/>
              <w:jc w:val="both"/>
            </w:pPr>
            <w:proofErr w:type="spellStart"/>
            <w:r>
              <w:t>Dutta</w:t>
            </w:r>
            <w:proofErr w:type="spellEnd"/>
            <w:r>
              <w:t xml:space="preserve"> SS, </w:t>
            </w:r>
            <w:proofErr w:type="spellStart"/>
            <w:r>
              <w:t>Mukhopadhyay</w:t>
            </w:r>
            <w:proofErr w:type="spellEnd"/>
            <w:r>
              <w:t xml:space="preserve"> S, </w:t>
            </w:r>
            <w:proofErr w:type="spellStart"/>
            <w:r>
              <w:t>Biswas</w:t>
            </w:r>
            <w:proofErr w:type="spellEnd"/>
            <w:r>
              <w:t xml:space="preserve"> A, </w:t>
            </w:r>
            <w:proofErr w:type="spellStart"/>
            <w:r>
              <w:t>Chattopadhyay</w:t>
            </w:r>
            <w:proofErr w:type="spellEnd"/>
            <w:r>
              <w:t xml:space="preserve"> S, </w:t>
            </w:r>
            <w:proofErr w:type="spellStart"/>
            <w:r>
              <w:t>Adhikary</w:t>
            </w:r>
            <w:proofErr w:type="spellEnd"/>
            <w:r>
              <w:t xml:space="preserve"> S. Dead Bodies – A Potential Source of Infection for COVID – 19. JIAFMT. 2022; 44(1):54-56.</w:t>
            </w:r>
          </w:p>
        </w:tc>
        <w:tc>
          <w:tcPr>
            <w:tcW w:w="971" w:type="dxa"/>
          </w:tcPr>
          <w:p w:rsidR="00044D23" w:rsidRDefault="00044D23"/>
        </w:tc>
        <w:tc>
          <w:tcPr>
            <w:tcW w:w="933" w:type="dxa"/>
          </w:tcPr>
          <w:p w:rsidR="00044D23" w:rsidRDefault="00BD5F18">
            <w:r>
              <w:t>Yes</w:t>
            </w:r>
          </w:p>
          <w:p w:rsidR="00BD5F18" w:rsidRDefault="00BD5F18"/>
          <w:p w:rsidR="00BD5F18" w:rsidRDefault="00BD5F18"/>
          <w:p w:rsidR="003821DB" w:rsidRDefault="003821DB"/>
        </w:tc>
      </w:tr>
      <w:tr w:rsidR="003821DB" w:rsidTr="00C33172">
        <w:tc>
          <w:tcPr>
            <w:tcW w:w="534" w:type="dxa"/>
          </w:tcPr>
          <w:p w:rsidR="003821DB" w:rsidRDefault="003821DB">
            <w:r>
              <w:t>25</w:t>
            </w:r>
          </w:p>
        </w:tc>
        <w:tc>
          <w:tcPr>
            <w:tcW w:w="1575" w:type="dxa"/>
          </w:tcPr>
          <w:p w:rsidR="003821DB" w:rsidRDefault="003821DB"/>
        </w:tc>
        <w:tc>
          <w:tcPr>
            <w:tcW w:w="5229" w:type="dxa"/>
          </w:tcPr>
          <w:p w:rsidR="003821DB" w:rsidRDefault="003821DB" w:rsidP="00186DA5">
            <w:pPr>
              <w:spacing w:line="360" w:lineRule="auto"/>
              <w:jc w:val="both"/>
            </w:pPr>
            <w:proofErr w:type="spellStart"/>
            <w:r>
              <w:t>Chattopadhyay</w:t>
            </w:r>
            <w:proofErr w:type="spellEnd"/>
            <w:r>
              <w:t xml:space="preserve"> S, </w:t>
            </w:r>
            <w:proofErr w:type="spellStart"/>
            <w:r>
              <w:t>Dutta</w:t>
            </w:r>
            <w:proofErr w:type="spellEnd"/>
            <w:r>
              <w:t xml:space="preserve"> SS, </w:t>
            </w:r>
            <w:proofErr w:type="spellStart"/>
            <w:r>
              <w:t>Adhikary</w:t>
            </w:r>
            <w:proofErr w:type="spellEnd"/>
            <w:r>
              <w:t xml:space="preserve"> S. A Study to Compare the Scio Demographic Profile and Causes of Death Between Wave 1 and Wave </w:t>
            </w:r>
            <w:proofErr w:type="gramStart"/>
            <w:r>
              <w:t>2  of</w:t>
            </w:r>
            <w:proofErr w:type="gramEnd"/>
            <w:r>
              <w:t xml:space="preserve"> COVID 19 </w:t>
            </w:r>
            <w:r>
              <w:lastRenderedPageBreak/>
              <w:t>Deaths at NRS Medical College, Kolkata. JIAFM.2023; 45(4): 357-360.</w:t>
            </w:r>
          </w:p>
        </w:tc>
        <w:tc>
          <w:tcPr>
            <w:tcW w:w="971" w:type="dxa"/>
          </w:tcPr>
          <w:p w:rsidR="003821DB" w:rsidRDefault="003821DB"/>
        </w:tc>
        <w:tc>
          <w:tcPr>
            <w:tcW w:w="933" w:type="dxa"/>
          </w:tcPr>
          <w:p w:rsidR="003821DB" w:rsidRDefault="003821DB"/>
          <w:p w:rsidR="001A0E58" w:rsidRDefault="001A0E58"/>
          <w:p w:rsidR="001A0E58" w:rsidRDefault="001A0E58"/>
          <w:p w:rsidR="001A0E58" w:rsidRDefault="001A0E58"/>
          <w:p w:rsidR="001A0E58" w:rsidRDefault="001A0E58"/>
          <w:p w:rsidR="001A0E58" w:rsidRDefault="001A0E58"/>
        </w:tc>
      </w:tr>
      <w:tr w:rsidR="001A0E58" w:rsidTr="00C33172">
        <w:tc>
          <w:tcPr>
            <w:tcW w:w="534" w:type="dxa"/>
          </w:tcPr>
          <w:p w:rsidR="001A0E58" w:rsidRDefault="001A0E58">
            <w:r>
              <w:lastRenderedPageBreak/>
              <w:t>26</w:t>
            </w:r>
          </w:p>
        </w:tc>
        <w:tc>
          <w:tcPr>
            <w:tcW w:w="1575" w:type="dxa"/>
          </w:tcPr>
          <w:p w:rsidR="001A0E58" w:rsidRDefault="001A0E58"/>
        </w:tc>
        <w:tc>
          <w:tcPr>
            <w:tcW w:w="5229" w:type="dxa"/>
          </w:tcPr>
          <w:p w:rsidR="001A0E58" w:rsidRDefault="001A0E58" w:rsidP="001A0E58">
            <w:pPr>
              <w:spacing w:line="360" w:lineRule="auto"/>
              <w:jc w:val="both"/>
            </w:pPr>
            <w:proofErr w:type="spellStart"/>
            <w:r>
              <w:t>Chattopadhyay</w:t>
            </w:r>
            <w:proofErr w:type="spellEnd"/>
            <w:r>
              <w:t xml:space="preserve"> S. Partial Autopsy – A second Thought. </w:t>
            </w:r>
            <w:proofErr w:type="spellStart"/>
            <w:r>
              <w:t>Int</w:t>
            </w:r>
            <w:proofErr w:type="spellEnd"/>
            <w:r>
              <w:t xml:space="preserve"> J Forensic </w:t>
            </w:r>
            <w:proofErr w:type="spellStart"/>
            <w:r>
              <w:t>Sci</w:t>
            </w:r>
            <w:proofErr w:type="spellEnd"/>
            <w:r>
              <w:t xml:space="preserve"> </w:t>
            </w:r>
            <w:proofErr w:type="spellStart"/>
            <w:r>
              <w:t>Pathol</w:t>
            </w:r>
            <w:proofErr w:type="spellEnd"/>
            <w:r>
              <w:t>. 2014; 2(2):1.</w:t>
            </w:r>
          </w:p>
          <w:p w:rsidR="001A0E58" w:rsidRDefault="001A0E58" w:rsidP="00186DA5">
            <w:pPr>
              <w:spacing w:line="360" w:lineRule="auto"/>
              <w:jc w:val="both"/>
            </w:pPr>
          </w:p>
        </w:tc>
        <w:tc>
          <w:tcPr>
            <w:tcW w:w="971" w:type="dxa"/>
          </w:tcPr>
          <w:p w:rsidR="001A0E58" w:rsidRDefault="001A0E58"/>
        </w:tc>
        <w:tc>
          <w:tcPr>
            <w:tcW w:w="933" w:type="dxa"/>
          </w:tcPr>
          <w:p w:rsidR="001A0E58" w:rsidRDefault="001A0E58"/>
        </w:tc>
      </w:tr>
    </w:tbl>
    <w:p w:rsidR="00636FD4" w:rsidRDefault="00636FD4"/>
    <w:sectPr w:rsidR="00636FD4" w:rsidSect="001465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33172"/>
    <w:rsid w:val="00044D23"/>
    <w:rsid w:val="00115BB2"/>
    <w:rsid w:val="0014652A"/>
    <w:rsid w:val="00186DA5"/>
    <w:rsid w:val="001A0E58"/>
    <w:rsid w:val="001C1D96"/>
    <w:rsid w:val="002939BE"/>
    <w:rsid w:val="003821DB"/>
    <w:rsid w:val="003E2ECC"/>
    <w:rsid w:val="004E2AF2"/>
    <w:rsid w:val="00636FD4"/>
    <w:rsid w:val="00743311"/>
    <w:rsid w:val="00952A2E"/>
    <w:rsid w:val="009E6879"/>
    <w:rsid w:val="00A779B6"/>
    <w:rsid w:val="00B5315F"/>
    <w:rsid w:val="00BD5F18"/>
    <w:rsid w:val="00C33172"/>
    <w:rsid w:val="00CB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Pragyashree</dc:creator>
  <cp:keywords/>
  <dc:description/>
  <cp:lastModifiedBy>Pragyashree</cp:lastModifiedBy>
  <cp:revision>24</cp:revision>
  <dcterms:created xsi:type="dcterms:W3CDTF">2021-12-26T03:33:00Z</dcterms:created>
  <dcterms:modified xsi:type="dcterms:W3CDTF">2024-03-26T03:55:00Z</dcterms:modified>
</cp:coreProperties>
</file>