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70" w:type="dxa"/>
        <w:tblLook w:val="04A0"/>
      </w:tblPr>
      <w:tblGrid>
        <w:gridCol w:w="2367"/>
        <w:gridCol w:w="2367"/>
        <w:gridCol w:w="2367"/>
        <w:gridCol w:w="2369"/>
      </w:tblGrid>
      <w:tr w:rsidR="00DF20A0" w:rsidTr="00DF20A0">
        <w:trPr>
          <w:trHeight w:val="2231"/>
        </w:trPr>
        <w:tc>
          <w:tcPr>
            <w:tcW w:w="2367" w:type="dxa"/>
          </w:tcPr>
          <w:p w:rsidR="00DF20A0" w:rsidRDefault="00DF20A0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  <w:u w:val="single"/>
              </w:rPr>
              <w:t>Sl</w:t>
            </w:r>
            <w:proofErr w:type="spellEnd"/>
            <w:r>
              <w:rPr>
                <w:rFonts w:cstheme="minorHAnsi"/>
                <w:b/>
                <w:sz w:val="28"/>
                <w:szCs w:val="28"/>
                <w:u w:val="single"/>
              </w:rPr>
              <w:t xml:space="preserve"> No.</w:t>
            </w:r>
          </w:p>
        </w:tc>
        <w:tc>
          <w:tcPr>
            <w:tcW w:w="2367" w:type="dxa"/>
          </w:tcPr>
          <w:p w:rsidR="00DF20A0" w:rsidRDefault="00DF20A0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Faculty Name</w:t>
            </w:r>
          </w:p>
        </w:tc>
        <w:tc>
          <w:tcPr>
            <w:tcW w:w="2367" w:type="dxa"/>
          </w:tcPr>
          <w:p w:rsidR="00DF20A0" w:rsidRDefault="00DF20A0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Publication in Vancouver referencing style</w:t>
            </w:r>
          </w:p>
        </w:tc>
        <w:tc>
          <w:tcPr>
            <w:tcW w:w="2369" w:type="dxa"/>
          </w:tcPr>
          <w:p w:rsidR="00DF20A0" w:rsidRDefault="00DF20A0">
            <w:pPr>
              <w:spacing w:line="27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Indexing system</w:t>
            </w:r>
          </w:p>
        </w:tc>
      </w:tr>
      <w:tr w:rsidR="00DF20A0" w:rsidTr="00DF20A0">
        <w:trPr>
          <w:trHeight w:val="386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283BD4">
            <w:r>
              <w:t>DR SUDESHNA ROY</w:t>
            </w:r>
          </w:p>
        </w:tc>
        <w:tc>
          <w:tcPr>
            <w:tcW w:w="2367" w:type="dxa"/>
          </w:tcPr>
          <w:p w:rsidR="00DF20A0" w:rsidRDefault="00D07477" w:rsidP="00046B40">
            <w:r w:rsidRPr="00D07477">
              <w:t xml:space="preserve"> Roy</w:t>
            </w:r>
            <w:r>
              <w:t xml:space="preserve"> S,</w:t>
            </w:r>
            <w:r w:rsidRPr="00D07477">
              <w:t xml:space="preserve"> </w:t>
            </w:r>
            <w:proofErr w:type="spellStart"/>
            <w:r w:rsidRPr="00D07477">
              <w:t>Chatterjee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gramStart"/>
            <w:r>
              <w:t>,</w:t>
            </w:r>
            <w:r w:rsidRPr="00D07477">
              <w:t>Ghanta</w:t>
            </w:r>
            <w:proofErr w:type="spellEnd"/>
            <w:proofErr w:type="gramEnd"/>
            <w:r>
              <w:t xml:space="preserve"> D, </w:t>
            </w:r>
            <w:proofErr w:type="spellStart"/>
            <w:r w:rsidRPr="00D07477">
              <w:t>Ahamed</w:t>
            </w:r>
            <w:proofErr w:type="spellEnd"/>
            <w:r w:rsidR="001663CA">
              <w:t xml:space="preserve"> S</w:t>
            </w:r>
            <w:r>
              <w:t xml:space="preserve"> </w:t>
            </w:r>
            <w:r w:rsidR="007B3AD6">
              <w:t>.</w:t>
            </w:r>
            <w:r w:rsidRPr="00D07477">
              <w:t xml:space="preserve"> A STUDY ON ASSOCIATION OF SYSTOLIC BLOOD PRESSURE, DIASTOLIC BLOOD PRESSURE, AND PULSE PRESSURE WITH INTRAOCULAR PRESSURE IN RELATION TO PRIMARY OPEN-ANGLE GLAUCOMA</w:t>
            </w:r>
            <w:r>
              <w:t xml:space="preserve">, </w:t>
            </w:r>
            <w:r w:rsidRPr="00046B40">
              <w:rPr>
                <w:i/>
              </w:rPr>
              <w:t>Asian Journal of Pharmaceutical and Clinical Research ,159–162,OCT 2023</w:t>
            </w:r>
            <w:r>
              <w:t xml:space="preserve"> </w:t>
            </w:r>
          </w:p>
        </w:tc>
        <w:tc>
          <w:tcPr>
            <w:tcW w:w="2369" w:type="dxa"/>
          </w:tcPr>
          <w:p w:rsidR="00DF20A0" w:rsidRDefault="00E52592">
            <w:r>
              <w:t>EMBASE</w:t>
            </w:r>
          </w:p>
        </w:tc>
      </w:tr>
      <w:tr w:rsidR="00DF20A0" w:rsidTr="00DF20A0">
        <w:trPr>
          <w:trHeight w:val="365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283BD4">
            <w:r>
              <w:t>DR SUDESHNA ROY</w:t>
            </w:r>
          </w:p>
        </w:tc>
        <w:tc>
          <w:tcPr>
            <w:tcW w:w="2367" w:type="dxa"/>
          </w:tcPr>
          <w:p w:rsidR="00DF20A0" w:rsidRDefault="00046B40" w:rsidP="00046B40">
            <w:r w:rsidRPr="00046B40">
              <w:t>Roy</w:t>
            </w:r>
            <w:r>
              <w:t xml:space="preserve"> </w:t>
            </w:r>
            <w:proofErr w:type="spellStart"/>
            <w:r>
              <w:t>S,</w:t>
            </w:r>
            <w:r w:rsidRPr="00046B40">
              <w:t>Shah</w:t>
            </w:r>
            <w:proofErr w:type="spellEnd"/>
            <w:r>
              <w:t xml:space="preserve"> K,</w:t>
            </w:r>
            <w:r w:rsidRPr="00046B40">
              <w:t xml:space="preserve"> </w:t>
            </w:r>
            <w:proofErr w:type="spellStart"/>
            <w:r w:rsidRPr="00046B40">
              <w:t>Sahar</w:t>
            </w:r>
            <w:proofErr w:type="spellEnd"/>
            <w:r>
              <w:t xml:space="preserve"> S</w:t>
            </w:r>
            <w:r w:rsidR="00A7383E">
              <w:t xml:space="preserve">, </w:t>
            </w:r>
            <w:proofErr w:type="spellStart"/>
            <w:r w:rsidRPr="00046B40">
              <w:t>Modak</w:t>
            </w:r>
            <w:proofErr w:type="spellEnd"/>
            <w:r>
              <w:t xml:space="preserve"> S.</w:t>
            </w:r>
            <w:r w:rsidRPr="00046B40">
              <w:t xml:space="preserve"> Mask Associated Dry Eye Section (MADE) in Healthcare Workers: A Cross-sectional Study</w:t>
            </w:r>
            <w:r>
              <w:t xml:space="preserve"> ,</w:t>
            </w:r>
            <w:r w:rsidRPr="00046B40">
              <w:t xml:space="preserve"> </w:t>
            </w:r>
            <w:r w:rsidRPr="00283BD4">
              <w:rPr>
                <w:i/>
              </w:rPr>
              <w:t>JOURNAL OF CLINICAL AND DIAGNOSTIC RESEARCH</w:t>
            </w:r>
            <w:r w:rsidR="00283BD4">
              <w:t>,2023</w:t>
            </w:r>
          </w:p>
        </w:tc>
        <w:tc>
          <w:tcPr>
            <w:tcW w:w="2369" w:type="dxa"/>
          </w:tcPr>
          <w:p w:rsidR="00DF20A0" w:rsidRDefault="00E52592">
            <w:r>
              <w:t>DOA</w:t>
            </w:r>
            <w:r w:rsidR="006E5234">
              <w:t>J</w:t>
            </w:r>
          </w:p>
        </w:tc>
      </w:tr>
      <w:tr w:rsidR="00DF20A0" w:rsidTr="00DF20A0">
        <w:trPr>
          <w:trHeight w:val="365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1247B4">
            <w:r>
              <w:t xml:space="preserve">Roy S et al. </w:t>
            </w:r>
            <w:r w:rsidRPr="001247B4">
              <w:t>Demographic Features of Patients with Juvenile Onset Open Angle Glaucoma</w:t>
            </w:r>
            <w:r>
              <w:t>,</w:t>
            </w:r>
            <w:r w:rsidRPr="001247B4">
              <w:t xml:space="preserve"> INTERNATIONAL JOURNAL OF SCIENTIFIC RESEARCH,</w:t>
            </w:r>
            <w:r>
              <w:t>ISSN:2277-8179,March 2021</w:t>
            </w:r>
          </w:p>
        </w:tc>
        <w:tc>
          <w:tcPr>
            <w:tcW w:w="2369" w:type="dxa"/>
          </w:tcPr>
          <w:p w:rsidR="00DF20A0" w:rsidRDefault="006E5234">
            <w:r>
              <w:t>CITATION INDEX</w:t>
            </w:r>
          </w:p>
        </w:tc>
      </w:tr>
      <w:tr w:rsidR="00DF20A0" w:rsidTr="00DF20A0">
        <w:trPr>
          <w:trHeight w:val="365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FF1C04">
            <w:r>
              <w:t xml:space="preserve">Roy S et al. </w:t>
            </w:r>
            <w:r w:rsidRPr="00FF1C04">
              <w:t>A Clinical Stud</w:t>
            </w:r>
            <w:r>
              <w:t>y Showing Association of Serum Lipi</w:t>
            </w:r>
            <w:r w:rsidRPr="00FF1C04">
              <w:t>ds with Primary Open Angle Glaucoma INTERNATIONAL JOURNAL OF SCIENTIFIC RESEARCH</w:t>
            </w:r>
            <w:r>
              <w:t>,ISSN:2277-8179,March 2021</w:t>
            </w:r>
          </w:p>
        </w:tc>
        <w:tc>
          <w:tcPr>
            <w:tcW w:w="2369" w:type="dxa"/>
          </w:tcPr>
          <w:p w:rsidR="00DF20A0" w:rsidRDefault="006E5234">
            <w:r>
              <w:t>CITATION INDEX</w:t>
            </w:r>
          </w:p>
        </w:tc>
      </w:tr>
      <w:tr w:rsidR="00DF20A0" w:rsidTr="00DF20A0">
        <w:trPr>
          <w:trHeight w:val="365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FF1C04">
            <w:r>
              <w:t xml:space="preserve">Roy S et al. </w:t>
            </w:r>
            <w:r w:rsidRPr="00FF1C04">
              <w:t>Study on E</w:t>
            </w:r>
            <w:r>
              <w:t xml:space="preserve">fficacy and Safety of </w:t>
            </w:r>
            <w:proofErr w:type="spellStart"/>
            <w:r>
              <w:t>Ripasudil</w:t>
            </w:r>
            <w:proofErr w:type="spellEnd"/>
            <w:r>
              <w:t xml:space="preserve"> </w:t>
            </w:r>
            <w:r w:rsidRPr="00FF1C04">
              <w:t>Hydrochloride In Treatment of Newly Diagnosed Primary Open Angle Glaucoma - INTERNATIONAL JOURNAL OF SCIENTIFIC RESEARCH,</w:t>
            </w:r>
            <w:r>
              <w:t>ISSN:2277-8179,Feb 2021</w:t>
            </w:r>
          </w:p>
        </w:tc>
        <w:tc>
          <w:tcPr>
            <w:tcW w:w="2369" w:type="dxa"/>
          </w:tcPr>
          <w:p w:rsidR="00DF20A0" w:rsidRDefault="006E5234">
            <w:r>
              <w:t>CITATION INDEX</w:t>
            </w:r>
          </w:p>
        </w:tc>
      </w:tr>
      <w:tr w:rsidR="00DF20A0" w:rsidTr="00DF20A0">
        <w:trPr>
          <w:trHeight w:val="365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FF1C04">
            <w:r>
              <w:t>Roy S et al. A Comparison of NCT</w:t>
            </w:r>
            <w:r w:rsidRPr="00FF1C04">
              <w:t xml:space="preserve">, </w:t>
            </w:r>
            <w:proofErr w:type="spellStart"/>
            <w:r w:rsidRPr="00FF1C04">
              <w:t>Goldmann</w:t>
            </w:r>
            <w:proofErr w:type="spellEnd"/>
            <w:r w:rsidRPr="00FF1C04">
              <w:t xml:space="preserve"> </w:t>
            </w:r>
            <w:proofErr w:type="spellStart"/>
            <w:r w:rsidRPr="00FF1C04">
              <w:t>Applanation</w:t>
            </w:r>
            <w:proofErr w:type="spellEnd"/>
            <w:r w:rsidRPr="00FF1C04">
              <w:t xml:space="preserve"> </w:t>
            </w:r>
            <w:proofErr w:type="spellStart"/>
            <w:r w:rsidRPr="00FF1C04">
              <w:t>Tonometry</w:t>
            </w:r>
            <w:proofErr w:type="spellEnd"/>
            <w:r w:rsidRPr="00FF1C04">
              <w:t xml:space="preserve"> Values In Diurnal Variability of </w:t>
            </w:r>
            <w:proofErr w:type="spellStart"/>
            <w:r w:rsidRPr="00FF1C04">
              <w:t>lntraocular</w:t>
            </w:r>
            <w:proofErr w:type="spellEnd"/>
            <w:r w:rsidRPr="00FF1C04">
              <w:t xml:space="preserve"> Pr</w:t>
            </w:r>
            <w:r>
              <w:t xml:space="preserve">essure and their Relation to CCT </w:t>
            </w:r>
            <w:r w:rsidRPr="00FF1C04">
              <w:t xml:space="preserve"> in Healthy Subjects INTERNATIONAL JOURNAL OF SCIENCE &amp; RESEARCH,</w:t>
            </w:r>
            <w:r>
              <w:t>ISSN:2319-7064,OCT 2020</w:t>
            </w:r>
          </w:p>
        </w:tc>
        <w:tc>
          <w:tcPr>
            <w:tcW w:w="2369" w:type="dxa"/>
          </w:tcPr>
          <w:p w:rsidR="00DF20A0" w:rsidRDefault="007B3AD6">
            <w:r>
              <w:t>Google Schola</w:t>
            </w:r>
            <w:r w:rsidR="00513F2F">
              <w:t>r</w:t>
            </w:r>
          </w:p>
        </w:tc>
      </w:tr>
      <w:tr w:rsidR="00DF20A0" w:rsidTr="00DF20A0">
        <w:trPr>
          <w:trHeight w:val="365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FF1C04">
            <w:r>
              <w:t>Roy S et al.</w:t>
            </w:r>
            <w:r w:rsidR="00445390">
              <w:t xml:space="preserve"> </w:t>
            </w:r>
            <w:r w:rsidR="00445390" w:rsidRPr="00445390">
              <w:t>Study of Clinical and Demographic Profile of Patients Visiting a Tertiary Eye Care Centre along with the Effect of Lockdown During Covfd-19 Pandemic - INTERNATIONAL JOURNAL OF SCIENTIFIC RESEARCH</w:t>
            </w:r>
            <w:r w:rsidR="00445390">
              <w:t>,ISSN:2277-8179,DEC 2020</w:t>
            </w:r>
          </w:p>
        </w:tc>
        <w:tc>
          <w:tcPr>
            <w:tcW w:w="2369" w:type="dxa"/>
          </w:tcPr>
          <w:p w:rsidR="00DF20A0" w:rsidRDefault="00513F2F">
            <w:r>
              <w:t>CITATION INDEX</w:t>
            </w:r>
          </w:p>
        </w:tc>
      </w:tr>
      <w:tr w:rsidR="00DF20A0" w:rsidTr="001F1015">
        <w:trPr>
          <w:trHeight w:val="4306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FF1C04" w:rsidP="00445390">
            <w:r>
              <w:t>Roy S et al.</w:t>
            </w:r>
            <w:r w:rsidR="00445390">
              <w:t xml:space="preserve"> A </w:t>
            </w:r>
            <w:r w:rsidR="00445390" w:rsidRPr="00445390">
              <w:t xml:space="preserve">Comparative Study of </w:t>
            </w:r>
            <w:proofErr w:type="spellStart"/>
            <w:r w:rsidR="00445390" w:rsidRPr="00445390">
              <w:t>Dermatoglyphic</w:t>
            </w:r>
            <w:proofErr w:type="spellEnd"/>
            <w:r w:rsidR="00445390" w:rsidRPr="00445390">
              <w:t xml:space="preserve"> Patterns in Patients with Primary Glaucoma and Control Group</w:t>
            </w:r>
            <w:r w:rsidR="00D16478">
              <w:t>,</w:t>
            </w:r>
            <w:r w:rsidR="00445390" w:rsidRPr="00445390">
              <w:t xml:space="preserve"> HUMAN BIOLOGY REVIEW</w:t>
            </w:r>
            <w:r w:rsidR="00445390">
              <w:t>,ISSN:2277-4424,JUNE 2013</w:t>
            </w:r>
          </w:p>
        </w:tc>
        <w:tc>
          <w:tcPr>
            <w:tcW w:w="2369" w:type="dxa"/>
          </w:tcPr>
          <w:p w:rsidR="00DF20A0" w:rsidRDefault="007B3AD6">
            <w:r>
              <w:t>Copernicus</w:t>
            </w:r>
          </w:p>
        </w:tc>
      </w:tr>
      <w:tr w:rsidR="00DF20A0" w:rsidTr="00DF20A0">
        <w:trPr>
          <w:trHeight w:val="386"/>
        </w:trPr>
        <w:tc>
          <w:tcPr>
            <w:tcW w:w="2367" w:type="dxa"/>
          </w:tcPr>
          <w:p w:rsidR="00DF20A0" w:rsidRDefault="00DF20A0" w:rsidP="00DF20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DF20A0" w:rsidRDefault="006E5234">
            <w:r>
              <w:t>DR SUDESHNA ROY</w:t>
            </w:r>
          </w:p>
        </w:tc>
        <w:tc>
          <w:tcPr>
            <w:tcW w:w="2367" w:type="dxa"/>
          </w:tcPr>
          <w:p w:rsidR="00DF20A0" w:rsidRDefault="00FF1C04">
            <w:r>
              <w:t>Roy S et al.</w:t>
            </w:r>
            <w:r w:rsidR="001F1015">
              <w:t xml:space="preserve"> </w:t>
            </w:r>
            <w:proofErr w:type="spellStart"/>
            <w:r w:rsidR="001F1015" w:rsidRPr="001F1015">
              <w:t>Dermatoglyphics</w:t>
            </w:r>
            <w:proofErr w:type="spellEnd"/>
            <w:r w:rsidR="001F1015" w:rsidRPr="001F1015">
              <w:t xml:space="preserve"> in Primary Glaucoma Patients INTERNATIONAL JOURNAL OF APPLIED RESEARCH</w:t>
            </w:r>
            <w:r w:rsidR="001F1015">
              <w:t>,ISSN:2249-555</w:t>
            </w:r>
            <w:r w:rsidR="006E5234">
              <w:t>X</w:t>
            </w:r>
            <w:r w:rsidR="001F1015">
              <w:t>,OCT 2013</w:t>
            </w:r>
          </w:p>
        </w:tc>
        <w:tc>
          <w:tcPr>
            <w:tcW w:w="2369" w:type="dxa"/>
          </w:tcPr>
          <w:p w:rsidR="00DF20A0" w:rsidRDefault="00BD3AE5">
            <w:r>
              <w:t>Copernicus</w:t>
            </w:r>
          </w:p>
          <w:p w:rsidR="00BD3AE5" w:rsidRDefault="00BD3AE5">
            <w:r>
              <w:t>Google Scholar</w:t>
            </w:r>
          </w:p>
        </w:tc>
      </w:tr>
    </w:tbl>
    <w:p w:rsidR="00CC6BC9" w:rsidRDefault="00CC6BC9"/>
    <w:sectPr w:rsidR="00CC6BC9" w:rsidSect="00CC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5FAD"/>
    <w:multiLevelType w:val="hybridMultilevel"/>
    <w:tmpl w:val="640235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0A0"/>
    <w:rsid w:val="00046B40"/>
    <w:rsid w:val="001247B4"/>
    <w:rsid w:val="001663CA"/>
    <w:rsid w:val="001F1015"/>
    <w:rsid w:val="00283BD4"/>
    <w:rsid w:val="00445390"/>
    <w:rsid w:val="00513F2F"/>
    <w:rsid w:val="006E5234"/>
    <w:rsid w:val="007B3AD6"/>
    <w:rsid w:val="00A12BC1"/>
    <w:rsid w:val="00A7383E"/>
    <w:rsid w:val="00B32517"/>
    <w:rsid w:val="00BD3AE5"/>
    <w:rsid w:val="00CC6BC9"/>
    <w:rsid w:val="00D07477"/>
    <w:rsid w:val="00D16478"/>
    <w:rsid w:val="00DF20A0"/>
    <w:rsid w:val="00E52592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545B-5A16-4D56-AF8D-02EAFD38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Topcon</dc:creator>
  <cp:keywords/>
  <dc:description/>
  <cp:lastModifiedBy>Topcon</cp:lastModifiedBy>
  <cp:revision>18</cp:revision>
  <dcterms:created xsi:type="dcterms:W3CDTF">2024-04-25T12:41:00Z</dcterms:created>
  <dcterms:modified xsi:type="dcterms:W3CDTF">2024-05-03T10:51:00Z</dcterms:modified>
</cp:coreProperties>
</file>