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85" w:type="dxa"/>
        <w:tblInd w:w="-885" w:type="dxa"/>
        <w:tblLook w:val="04A0"/>
      </w:tblPr>
      <w:tblGrid>
        <w:gridCol w:w="583"/>
        <w:gridCol w:w="3683"/>
        <w:gridCol w:w="7645"/>
        <w:gridCol w:w="2974"/>
      </w:tblGrid>
      <w:tr w:rsidR="00CC56E0" w:rsidTr="00CC56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E0" w:rsidRDefault="00CC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  <w:p w:rsidR="00CC56E0" w:rsidRDefault="00CC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E0" w:rsidRDefault="00CC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 of  Faculty</w:t>
            </w:r>
          </w:p>
          <w:p w:rsidR="00CC56E0" w:rsidRDefault="00CC56E0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23782">
              <w:rPr>
                <w:b/>
                <w:sz w:val="24"/>
                <w:szCs w:val="24"/>
              </w:rPr>
              <w:t>Publication  in  Vancouver  referencing  style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6E0" w:rsidRDefault="00CC56E0">
            <w:pPr>
              <w:rPr>
                <w:sz w:val="16"/>
                <w:szCs w:val="16"/>
              </w:rPr>
            </w:pPr>
            <w:r w:rsidRPr="00F23782">
              <w:rPr>
                <w:b/>
                <w:sz w:val="24"/>
                <w:szCs w:val="24"/>
              </w:rPr>
              <w:t>Indexing  System</w:t>
            </w:r>
          </w:p>
        </w:tc>
      </w:tr>
      <w:tr w:rsidR="00CC56E0" w:rsidTr="00CC56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E0" w:rsidRDefault="00CC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E0" w:rsidRDefault="00CC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 </w:t>
            </w:r>
            <w:proofErr w:type="spellStart"/>
            <w:r>
              <w:rPr>
                <w:sz w:val="28"/>
                <w:szCs w:val="28"/>
              </w:rPr>
              <w:t>Sukdeb</w:t>
            </w:r>
            <w:proofErr w:type="spellEnd"/>
            <w:r>
              <w:rPr>
                <w:sz w:val="28"/>
                <w:szCs w:val="28"/>
              </w:rPr>
              <w:t xml:space="preserve">  Das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1.Dhar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MC,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Chaudhury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clinical study of viper snake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bite.Journal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the Association of Physicians of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India2002 ;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50: 86-7.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2.Chaudhury 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MC,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Chatterjee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Banerjee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K. Alopecia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Universalis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a case of Systemic Lupus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Erythematosus.Journal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the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Association of Physicians of India2002;50:1073-4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Talukdar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P, Das K M,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Kundu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Talukdar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 Psychiatric Manifestations in Malaria in Kolkata. Bengal Journal of Psychiatry2008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;15:28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-36.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Talukdar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Talukdar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Karmakar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KL,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D.Psychiatric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Manifestation in Rheumatoid Arthritis in Kolkata, India: A Primary Survey. Bengal Journal of Psychiatry2009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;15:25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-30.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Das KM,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Ganguly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PK,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Kundu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D.A clinical studies on Tics in a Medical college in Kolkata. Indian Medical Journal2009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;102:51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Das KM,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Ganguly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PK,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Kundu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D.A clinical study of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Hemifacial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spasm in a Medical College Kolkata. Indian Medical Journal2009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;103:49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-50.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Saha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Dutta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Saha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D.Thrombocytopenia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Hospitalized Malaria Patients-A preliminary report.  Indian Medical Journal2009;103:231-2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Ghosh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KC,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Bhar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Ganguly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PK.Anemia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Rheumatoid Arthritis-A primary Report.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Indian Medical Journal2009;103:239-2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Ghosh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KC,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Bhar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Ganguly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PK.  , Systemic infection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inflamation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 trigger factor of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ischemic  stroke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 Journal of Indian Academy of Neurosciences2011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;18:17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-20.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Ghosh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KC,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Malhotra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Yadav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Kundu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Ganguly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PK,Short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term mortality predictors in acute stroke. Journal of Indian Academy of Neurosciences2012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;19:61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-7.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Yadav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Ghosh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KC,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Panchadhayee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Kundu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Ganguly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PK.A clinical study of Ischemic stroke with micro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albuminuria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with risk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stratificatio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short term predictive value and outcome.  Journal of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Indian  Medical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Association2012;110:908-19.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Chaturvedi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Dutta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Sarkar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SahaTK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Adhikary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et al.. Prevalence of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Hyperamylasemia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Acute Pancreatitis 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organo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phosphorus poisoning. IOSR Journal of Dental &amp; Medical Sciences (ISOR-JDMS)2014;13:59-2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BK,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Das 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Chjaturvedi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N.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Unusual  cause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Spontenous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bilateral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Pneumothorax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secondary to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Oesteosarcoma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Metastasis. Journal of Association of Physicians of India2016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;64:68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-9.</w:t>
            </w: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6E0" w:rsidRDefault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Bhakat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Karmakar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Das 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Extra pulmonary Tuberculosis complicated by focal segmental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glomerulosclerosis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-a rare association.</w:t>
            </w:r>
          </w:p>
          <w:p w:rsidR="00CC56E0" w:rsidRPr="00CC56E0" w:rsidRDefault="00CC56E0" w:rsidP="00CC56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Journal of the Indian Medical Association2021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;119:51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6E0" w:rsidRDefault="00CC56E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  <w:r>
              <w:rPr>
                <w:sz w:val="16"/>
                <w:szCs w:val="16"/>
              </w:rPr>
              <w:t>, SCOPUS</w:t>
            </w: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  <w:r>
              <w:rPr>
                <w:sz w:val="16"/>
                <w:szCs w:val="16"/>
              </w:rPr>
              <w:t>, SCOPUS</w:t>
            </w: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PunMed</w:t>
            </w:r>
            <w:proofErr w:type="spellEnd"/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DOAJ, SCOPUS</w:t>
            </w: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DOAJ, SCOPUS</w:t>
            </w: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DOAJ</w:t>
            </w: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  <w:r>
              <w:rPr>
                <w:sz w:val="16"/>
                <w:szCs w:val="16"/>
              </w:rPr>
              <w:t>, SCOPUS</w:t>
            </w: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 , Copernicus</w:t>
            </w: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16"/>
                <w:szCs w:val="16"/>
              </w:rPr>
            </w:pPr>
          </w:p>
          <w:p w:rsidR="00CC56E0" w:rsidRDefault="00CC56E0">
            <w:pPr>
              <w:rPr>
                <w:sz w:val="28"/>
                <w:szCs w:val="28"/>
              </w:rPr>
            </w:pPr>
          </w:p>
        </w:tc>
      </w:tr>
    </w:tbl>
    <w:p w:rsidR="00361DBB" w:rsidRDefault="00361DBB"/>
    <w:sectPr w:rsidR="00361DBB" w:rsidSect="00CC56E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56E0"/>
    <w:rsid w:val="00361DBB"/>
    <w:rsid w:val="00CC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6E0"/>
    <w:pPr>
      <w:spacing w:after="0" w:line="240" w:lineRule="auto"/>
    </w:pPr>
  </w:style>
  <w:style w:type="table" w:styleId="TableGrid">
    <w:name w:val="Table Grid"/>
    <w:basedOn w:val="TableNormal"/>
    <w:uiPriority w:val="59"/>
    <w:rsid w:val="00CC56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2024-06-21T08:16:00Z</dcterms:created>
  <dcterms:modified xsi:type="dcterms:W3CDTF">2024-06-21T08:21:00Z</dcterms:modified>
</cp:coreProperties>
</file>