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005" w:rsidRDefault="00260005">
      <w:pPr>
        <w:rPr>
          <w:lang w:val="en-US"/>
        </w:rPr>
      </w:pPr>
    </w:p>
    <w:p w:rsidR="0073218B" w:rsidRPr="0073218B" w:rsidRDefault="0073218B" w:rsidP="00732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lang w:eastAsia="en-IN"/>
        </w:rPr>
      </w:pPr>
      <w:r w:rsidRPr="0073218B">
        <w:rPr>
          <w:rFonts w:ascii="Times New Roman" w:eastAsia="Times New Roman" w:hAnsi="Times New Roman" w:cs="Times New Roman"/>
          <w:b/>
          <w:color w:val="212529"/>
          <w:sz w:val="36"/>
          <w:lang w:eastAsia="en-IN"/>
        </w:rPr>
        <w:t>Publications (</w:t>
      </w:r>
      <w:proofErr w:type="spellStart"/>
      <w:proofErr w:type="gramStart"/>
      <w:r w:rsidRPr="0073218B">
        <w:rPr>
          <w:rFonts w:ascii="Times New Roman" w:eastAsia="Times New Roman" w:hAnsi="Times New Roman" w:cs="Times New Roman"/>
          <w:b/>
          <w:color w:val="212529"/>
          <w:sz w:val="36"/>
          <w:lang w:eastAsia="en-IN"/>
        </w:rPr>
        <w:t>september</w:t>
      </w:r>
      <w:proofErr w:type="spellEnd"/>
      <w:proofErr w:type="gramEnd"/>
      <w:r w:rsidRPr="0073218B">
        <w:rPr>
          <w:rFonts w:ascii="Times New Roman" w:eastAsia="Times New Roman" w:hAnsi="Times New Roman" w:cs="Times New Roman"/>
          <w:b/>
          <w:color w:val="212529"/>
          <w:sz w:val="36"/>
          <w:lang w:eastAsia="en-IN"/>
        </w:rPr>
        <w:t xml:space="preserve"> 2023 till now)</w:t>
      </w:r>
    </w:p>
    <w:p w:rsidR="0073218B" w:rsidRPr="0073218B" w:rsidRDefault="0073218B" w:rsidP="00732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36"/>
          <w:lang w:eastAsia="en-IN"/>
        </w:rPr>
      </w:pPr>
      <w:r w:rsidRPr="0073218B">
        <w:rPr>
          <w:rFonts w:ascii="Times New Roman" w:eastAsia="Times New Roman" w:hAnsi="Times New Roman" w:cs="Times New Roman"/>
          <w:b/>
          <w:color w:val="212529"/>
          <w:sz w:val="36"/>
          <w:lang w:eastAsia="en-IN"/>
        </w:rPr>
        <w:pict>
          <v:rect id="_x0000_i1025" style="width:0;height:0" o:hralign="center" o:hrstd="t" o:hr="t" fillcolor="#a0a0a0" stroked="f"/>
        </w:pict>
      </w:r>
    </w:p>
    <w:p w:rsidR="0073218B" w:rsidRPr="0073218B" w:rsidRDefault="0073218B" w:rsidP="007321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en-IN"/>
        </w:rPr>
      </w:pP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1.Chattopadhyay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Goswami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Sengupta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N,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Baidya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A. Can the 128-Hz tuning fork be an alternative to the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biothesiometer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for diabetic peripheral neuropathy screening? </w:t>
      </w: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A cross-sectional study in a tertiary hospital in East India.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</w:t>
      </w: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BMJ Open.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2024 Jun 11</w:t>
      </w: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;14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(6):e082193. </w:t>
      </w:r>
      <w:proofErr w:type="spellStart"/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doi</w:t>
      </w:r>
      <w:proofErr w:type="spellEnd"/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: 10.1136/bmjopen-2023-082193. PMID: 38862223; PMCID: PMC11168183.</w:t>
      </w:r>
    </w:p>
    <w:p w:rsidR="0073218B" w:rsidRPr="0073218B" w:rsidRDefault="0073218B" w:rsidP="007321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en-IN"/>
        </w:rPr>
      </w:pPr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2. 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Shenoy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MT,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Mondal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S, Fernandez CJ,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Pappachan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JM. Management of male obesity-related secondary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hypogonadism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: A clinical update. World J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Exp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Med 2024; 14(2): 93689. DOI: https://dx.doi.org/10.5493/wjem.v14.i2.93689</w:t>
      </w:r>
    </w:p>
    <w:p w:rsidR="0073218B" w:rsidRPr="0073218B" w:rsidRDefault="0073218B" w:rsidP="007321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en-IN"/>
        </w:rPr>
      </w:pPr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3.Mondal S,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Pramanik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Khare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VR, Fernandez CJ,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Pappachan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JM. Sodium glucose cotransporter-2 inhibitors and heart disease: Current perspectives. </w:t>
      </w: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World J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Cardiol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.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2024 May 26</w:t>
      </w: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;16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(5):240-259. </w:t>
      </w:r>
      <w:proofErr w:type="spellStart"/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doi</w:t>
      </w:r>
      <w:proofErr w:type="spellEnd"/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: 10.4330/wjc.v16.i5.240. PMID: 38817648; PMCID: PMC11135334.</w:t>
      </w:r>
    </w:p>
    <w:p w:rsidR="0073218B" w:rsidRPr="0073218B" w:rsidRDefault="0073218B" w:rsidP="007321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en-IN"/>
        </w:rPr>
      </w:pPr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4.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Khare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VR,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Sinha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B,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Sengupta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N,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Chatterjee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Maji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D,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Majumder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A,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Guha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P,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Datta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Hawelia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DK, Bhattacharyya S,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Chaudhuri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SR,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Batin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S. Practise updates: Diagnosis and management of idiopathic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hirsutism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. Indian J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Endocr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Metab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2024</w:t>
      </w:r>
      <w:proofErr w:type="gram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;28:239</w:t>
      </w:r>
      <w:proofErr w:type="gram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-49.</w:t>
      </w:r>
    </w:p>
    <w:p w:rsidR="0073218B" w:rsidRPr="0073218B" w:rsidRDefault="0073218B" w:rsidP="007321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en-IN"/>
        </w:rPr>
      </w:pPr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5.Cutaneous Manifestations of Diabetes Mellitus in a Tertiary Care Hospital in Eastern India: A Cross-sectional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Study.Barman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Achar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A,Sengupta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N,Chowdhury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</w:t>
      </w:r>
      <w:proofErr w:type="spell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J,Bhakta</w:t>
      </w:r>
      <w:proofErr w:type="spellEnd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 xml:space="preserve"> A 28(1):p 29-32, Jan–Jun 2024.DOI: 10.4103/jdds.jdds_47_23</w:t>
      </w:r>
    </w:p>
    <w:p w:rsidR="0073218B" w:rsidRPr="0073218B" w:rsidRDefault="0073218B" w:rsidP="007321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en-IN"/>
        </w:rPr>
      </w:pPr>
      <w:proofErr w:type="gramStart"/>
      <w:r w:rsidRPr="0073218B">
        <w:rPr>
          <w:rFonts w:ascii="Times New Roman" w:eastAsia="Times New Roman" w:hAnsi="Times New Roman" w:cs="Times New Roman"/>
          <w:color w:val="212529"/>
          <w:lang w:eastAsia="en-IN"/>
        </w:rPr>
        <w:t>6.</w:t>
      </w:r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Nagendra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L,</w:t>
      </w:r>
      <w:r w:rsidRPr="0073218B">
        <w:rPr>
          <w:rFonts w:ascii="Times New Roman" w:eastAsia="Times New Roman" w:hAnsi="Times New Roman" w:cs="Times New Roman"/>
          <w:color w:val="212121"/>
          <w:shd w:val="clear" w:color="auto" w:fill="FFFF00"/>
          <w:lang w:eastAsia="en-IN"/>
        </w:rPr>
        <w:t> 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shd w:val="clear" w:color="auto" w:fill="FFFF00"/>
          <w:lang w:eastAsia="en-IN"/>
        </w:rPr>
        <w:t>Mondal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shd w:val="clear" w:color="auto" w:fill="FFFF00"/>
          <w:lang w:eastAsia="en-IN"/>
        </w:rPr>
        <w:t xml:space="preserve"> S</w:t>
      </w:r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, Bhattacharya S. Thyroid Disorders in the Tropics. </w:t>
      </w:r>
      <w:proofErr w:type="gram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2024 Jul 28.</w:t>
      </w:r>
      <w:proofErr w:type="gram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In: Feingold KR,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Anawalt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B, Blackman MR, Boyce A,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Chrousos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G,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Corpas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E, de Herder WW,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Dhatariya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K,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Dungan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K,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Hofland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J,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Kalra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S,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Kaltsas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G,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Kapoor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N, Koch C, Kopp P,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Korbonits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M, Kovacs CS,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Kuohung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W,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Laferrère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B, Levy M, McGee EA, McLachlan R, New M,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Purnell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J,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Sahay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R, Shah AS, Singer F,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Sperling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MA,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Stratakis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CA,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Trence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DL, Wilson DP, editors. </w:t>
      </w:r>
      <w:proofErr w:type="spellStart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>Endotext</w:t>
      </w:r>
      <w:proofErr w:type="spellEnd"/>
      <w:r w:rsidRPr="0073218B">
        <w:rPr>
          <w:rFonts w:ascii="Times New Roman" w:eastAsia="Times New Roman" w:hAnsi="Times New Roman" w:cs="Times New Roman"/>
          <w:color w:val="212121"/>
          <w:lang w:eastAsia="en-IN"/>
        </w:rPr>
        <w:t xml:space="preserve"> [Internet]. South Dartmouth (MA): MDText.com, Inc.; 2000–. PMID: 39078930.</w:t>
      </w:r>
    </w:p>
    <w:p w:rsidR="0073218B" w:rsidRDefault="0073218B">
      <w:pPr>
        <w:rPr>
          <w:lang w:val="en-US"/>
        </w:rPr>
      </w:pPr>
    </w:p>
    <w:p w:rsidR="0073218B" w:rsidRPr="0073218B" w:rsidRDefault="0073218B">
      <w:pPr>
        <w:rPr>
          <w:lang w:val="en-US"/>
        </w:rPr>
      </w:pPr>
      <w:bookmarkStart w:id="0" w:name="_GoBack"/>
      <w:bookmarkEnd w:id="0"/>
    </w:p>
    <w:sectPr w:rsidR="0073218B" w:rsidRPr="0073218B" w:rsidSect="0073218B">
      <w:pgSz w:w="11906" w:h="16838"/>
      <w:pgMar w:top="1440" w:right="707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8B"/>
    <w:rsid w:val="00260005"/>
    <w:rsid w:val="0073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2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218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3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3218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3218B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73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6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2024-10-21T09:03:00Z</dcterms:created>
  <dcterms:modified xsi:type="dcterms:W3CDTF">2024-10-21T09:04:00Z</dcterms:modified>
</cp:coreProperties>
</file>